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  <w:shd w:val="clear" w:color="auto" w:fill="1A1A1A"/>
          </w:tcPr>
          <w:p>
            <w:pPr>
              <w:spacing w:before="200" w:after="80"/>
            </w:pPr>
            <w:r>
              <w:rPr>
                <w:b/>
                <w:color w:val="C0FF6B"/>
                <w:sz w:val="22"/>
              </w:rPr>
              <w:t>FF  FUTURE FRONTIERS</w:t>
            </w:r>
          </w:p>
          <w:p>
            <w:r>
              <w:rPr>
                <w:b/>
                <w:color w:val="FFFFFF"/>
                <w:sz w:val="40"/>
              </w:rPr>
              <w:t>Agent Job Description — Sample</w:t>
            </w:r>
          </w:p>
          <w:p>
            <w:r>
              <w:rPr>
                <w:color w:val="AAAAAA"/>
                <w:sz w:val="20"/>
              </w:rPr>
              <w:t>Claims-Triage Agent at AcmeCorp Insurance</w:t>
            </w:r>
          </w:p>
          <w:p>
            <w:pPr>
              <w:spacing w:after="200"/>
            </w:pPr>
            <w:r>
              <w:rPr>
                <w:color w:val="666666"/>
                <w:sz w:val="16"/>
              </w:rPr>
              <w:t>Exploring over the Horizon  ·  futurefrontiers.us</w:t>
            </w:r>
          </w:p>
        </w:tc>
      </w:tr>
    </w:tbl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  <w:shd w:val="clear" w:color="auto" w:fill="C0FF6B"/>
          </w:tcPr>
          <w:p>
            <w:pPr>
              <w:spacing w:before="80" w:after="80"/>
            </w:pPr>
            <w:r>
              <w:rPr>
                <w:b/>
                <w:color w:val="1A1A1A"/>
                <w:sz w:val="18"/>
              </w:rPr>
              <w:t xml:space="preserve">  SAMPLE FILLED AGENT JD  ·  AcmeCorp Insurance  ·  May 2026</w:t>
            </w:r>
          </w:p>
        </w:tc>
      </w:tr>
    </w:tbl>
    <w:p/>
    <w:p>
      <w:pPr>
        <w:spacing w:before="40" w:after="80"/>
      </w:pPr>
      <w:r>
        <w:rPr>
          <w:i/>
          <w:color w:val="336633"/>
          <w:sz w:val="20"/>
        </w:rPr>
        <w:t>This sample shows a completed Agent Job Description for AcmeCorp's Claims-Triage Agent. It demonstrates how to specify an AI agent's role, authority, tools, success criteria, and governance with the same rigor you would apply to a human hire.</w:t>
      </w:r>
    </w:p>
    <w:p>
      <w:pPr>
        <w:spacing w:before="280" w:after="80"/>
      </w:pPr>
      <w:r>
        <w:rPr>
          <w:b/>
          <w:color w:val="1A1A1A"/>
          <w:sz w:val="28"/>
        </w:rPr>
        <w:t>SECTION 1: AGENT IDENTITY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6480"/>
      </w:tblGrid>
      <w:tr>
        <w:tc>
          <w:tcPr>
            <w:tcW w:type="dxa" w:w="4680"/>
            <w:shd w:val="clear" w:color="auto" w:fill="1A1A1A"/>
          </w:tcPr>
          <w:p>
            <w:r>
              <w:rPr>
                <w:b/>
                <w:color w:val="FFFFFF"/>
                <w:sz w:val="18"/>
              </w:rPr>
              <w:t>FIELD</w:t>
            </w:r>
          </w:p>
        </w:tc>
        <w:tc>
          <w:tcPr>
            <w:tcW w:type="dxa" w:w="4680"/>
            <w:shd w:val="clear" w:color="auto" w:fill="1A1A1A"/>
          </w:tcPr>
          <w:p>
            <w:r>
              <w:rPr>
                <w:b/>
                <w:color w:val="FFFFFF"/>
                <w:sz w:val="18"/>
              </w:rPr>
              <w:t>VALUE</w:t>
            </w:r>
          </w:p>
        </w:tc>
      </w:tr>
      <w:tr>
        <w:tc>
          <w:tcPr>
            <w:tcW w:type="dxa" w:w="2880"/>
            <w:shd w:val="clear" w:color="auto" w:fill="F5F5F5"/>
          </w:tcPr>
          <w:p>
            <w:r>
              <w:rPr>
                <w:b/>
                <w:color w:val="1A1A1A"/>
                <w:sz w:val="18"/>
              </w:rPr>
              <w:t>Agent Name</w:t>
            </w:r>
          </w:p>
        </w:tc>
        <w:tc>
          <w:tcPr>
            <w:tcW w:type="dxa" w:w="6480"/>
            <w:shd w:val="clear" w:color="auto" w:fill="F0FFD8"/>
          </w:tcPr>
          <w:p>
            <w:r>
              <w:rPr>
                <w:b w:val="0"/>
                <w:color w:val="444444"/>
                <w:sz w:val="18"/>
              </w:rPr>
              <w:t>Claims-Triage Agent</w:t>
            </w:r>
          </w:p>
        </w:tc>
      </w:tr>
      <w:tr>
        <w:tc>
          <w:tcPr>
            <w:tcW w:type="dxa" w:w="2880"/>
            <w:shd w:val="clear" w:color="auto" w:fill="F5F5F5"/>
          </w:tcPr>
          <w:p>
            <w:r>
              <w:rPr>
                <w:b/>
                <w:color w:val="1A1A1A"/>
                <w:sz w:val="18"/>
              </w:rPr>
              <w:t>Agent ID</w:t>
            </w:r>
          </w:p>
        </w:tc>
        <w:tc>
          <w:tcPr>
            <w:tcW w:type="dxa" w:w="6480"/>
            <w:shd w:val="clear" w:color="auto" w:fill="F0FFD8"/>
          </w:tcPr>
          <w:p>
            <w:r>
              <w:rPr>
                <w:b w:val="0"/>
                <w:color w:val="444444"/>
                <w:sz w:val="18"/>
              </w:rPr>
              <w:t>CTA-001  ·  Version: 1.2  ·  Deployed: May 19, 2026</w:t>
            </w:r>
          </w:p>
        </w:tc>
      </w:tr>
      <w:tr>
        <w:tc>
          <w:tcPr>
            <w:tcW w:type="dxa" w:w="2880"/>
            <w:shd w:val="clear" w:color="auto" w:fill="F5F5F5"/>
          </w:tcPr>
          <w:p>
            <w:r>
              <w:rPr>
                <w:b/>
                <w:color w:val="1A1A1A"/>
                <w:sz w:val="18"/>
              </w:rPr>
              <w:t>Department</w:t>
            </w:r>
          </w:p>
        </w:tc>
        <w:tc>
          <w:tcPr>
            <w:tcW w:type="dxa" w:w="6480"/>
            <w:shd w:val="clear" w:color="auto" w:fill="F0FFD8"/>
          </w:tcPr>
          <w:p>
            <w:r>
              <w:rPr>
                <w:b w:val="0"/>
                <w:color w:val="444444"/>
                <w:sz w:val="18"/>
              </w:rPr>
              <w:t>Claims Operations</w:t>
            </w:r>
          </w:p>
        </w:tc>
      </w:tr>
      <w:tr>
        <w:tc>
          <w:tcPr>
            <w:tcW w:type="dxa" w:w="2880"/>
            <w:shd w:val="clear" w:color="auto" w:fill="F5F5F5"/>
          </w:tcPr>
          <w:p>
            <w:r>
              <w:rPr>
                <w:b/>
                <w:color w:val="1A1A1A"/>
                <w:sz w:val="18"/>
              </w:rPr>
              <w:t>Reports To (Human Owner)</w:t>
            </w:r>
          </w:p>
        </w:tc>
        <w:tc>
          <w:tcPr>
            <w:tcW w:type="dxa" w:w="6480"/>
            <w:shd w:val="clear" w:color="auto" w:fill="F0FFD8"/>
          </w:tcPr>
          <w:p>
            <w:r>
              <w:rPr>
                <w:b w:val="0"/>
                <w:color w:val="444444"/>
                <w:sz w:val="18"/>
              </w:rPr>
              <w:t>Maria Chen, VP Operations  ·  mchen@acmecorp.com</w:t>
            </w:r>
          </w:p>
        </w:tc>
      </w:tr>
      <w:tr>
        <w:tc>
          <w:tcPr>
            <w:tcW w:type="dxa" w:w="2880"/>
            <w:shd w:val="clear" w:color="auto" w:fill="F5F5F5"/>
          </w:tcPr>
          <w:p>
            <w:r>
              <w:rPr>
                <w:b/>
                <w:color w:val="1A1A1A"/>
                <w:sz w:val="18"/>
              </w:rPr>
              <w:t>AI Incident Owner</w:t>
            </w:r>
          </w:p>
        </w:tc>
        <w:tc>
          <w:tcPr>
            <w:tcW w:type="dxa" w:w="6480"/>
            <w:shd w:val="clear" w:color="auto" w:fill="F0FFD8"/>
          </w:tcPr>
          <w:p>
            <w:r>
              <w:rPr>
                <w:b w:val="0"/>
                <w:color w:val="444444"/>
                <w:sz w:val="18"/>
              </w:rPr>
              <w:t>David Park, Chief Risk Officer  ·  dpark@acmecorp.com</w:t>
            </w:r>
          </w:p>
        </w:tc>
      </w:tr>
      <w:tr>
        <w:tc>
          <w:tcPr>
            <w:tcW w:type="dxa" w:w="2880"/>
            <w:shd w:val="clear" w:color="auto" w:fill="F5F5F5"/>
          </w:tcPr>
          <w:p>
            <w:r>
              <w:rPr>
                <w:b/>
                <w:color w:val="1A1A1A"/>
                <w:sz w:val="18"/>
              </w:rPr>
              <w:t>Agent Persona</w:t>
            </w:r>
          </w:p>
        </w:tc>
        <w:tc>
          <w:tcPr>
            <w:tcW w:type="dxa" w:w="6480"/>
            <w:shd w:val="clear" w:color="auto" w:fill="F0FFD8"/>
          </w:tcPr>
          <w:p>
            <w:r>
              <w:rPr>
                <w:b w:val="0"/>
                <w:color w:val="444444"/>
                <w:sz w:val="18"/>
              </w:rPr>
              <w:t>AcmeCorp Claims Intake Coordinator — AI-Assisted</w:t>
            </w:r>
          </w:p>
        </w:tc>
      </w:tr>
      <w:tr>
        <w:tc>
          <w:tcPr>
            <w:tcW w:type="dxa" w:w="2880"/>
            <w:shd w:val="clear" w:color="auto" w:fill="F5F5F5"/>
          </w:tcPr>
          <w:p>
            <w:r>
              <w:rPr>
                <w:b/>
                <w:color w:val="1A1A1A"/>
                <w:sz w:val="18"/>
              </w:rPr>
              <w:t>Deployment Environment</w:t>
            </w:r>
          </w:p>
        </w:tc>
        <w:tc>
          <w:tcPr>
            <w:tcW w:type="dxa" w:w="6480"/>
            <w:shd w:val="clear" w:color="auto" w:fill="F0FFD8"/>
          </w:tcPr>
          <w:p>
            <w:r>
              <w:rPr>
                <w:b w:val="0"/>
                <w:color w:val="444444"/>
                <w:sz w:val="18"/>
              </w:rPr>
              <w:t>Production  ·  AWS us-east-1 VPC  ·  AgentFlow Enterprise v3.2</w:t>
            </w:r>
          </w:p>
        </w:tc>
      </w:tr>
      <w:tr>
        <w:tc>
          <w:tcPr>
            <w:tcW w:type="dxa" w:w="2880"/>
            <w:shd w:val="clear" w:color="auto" w:fill="F5F5F5"/>
          </w:tcPr>
          <w:p>
            <w:r>
              <w:rPr>
                <w:b/>
                <w:color w:val="1A1A1A"/>
                <w:sz w:val="18"/>
              </w:rPr>
              <w:t>Model</w:t>
            </w:r>
          </w:p>
        </w:tc>
        <w:tc>
          <w:tcPr>
            <w:tcW w:type="dxa" w:w="6480"/>
            <w:shd w:val="clear" w:color="auto" w:fill="F0FFD8"/>
          </w:tcPr>
          <w:p>
            <w:r>
              <w:rPr>
                <w:b w:val="0"/>
                <w:color w:val="444444"/>
                <w:sz w:val="18"/>
              </w:rPr>
              <w:t>Anthropic Claude 3.7 Sonnet (via AgentFlow)  ·  Context: 200K tokens</w:t>
            </w:r>
          </w:p>
        </w:tc>
      </w:tr>
    </w:tbl>
    <w:p/>
    <w:p>
      <w:pPr>
        <w:spacing w:before="280" w:after="80"/>
      </w:pPr>
      <w:r>
        <w:rPr>
          <w:b/>
          <w:color w:val="1A1A1A"/>
          <w:sz w:val="28"/>
        </w:rPr>
        <w:t>SECTION 2: PURPOSE &amp; SCOPE</w:t>
      </w:r>
    </w:p>
    <w:p>
      <w:pPr>
        <w:spacing w:before="40" w:after="80"/>
      </w:pPr>
      <w:r>
        <w:rPr>
          <w:i w:val="0"/>
          <w:color w:val="1A1A1A"/>
          <w:sz w:val="20"/>
        </w:rPr>
        <w:t>PRIMARY PURPOSE: Automate the First Notice of Loss (FNOL) triage process for AcmeCorp's P&amp;C claims portfolio. The agent classifies incoming claims by type (auto, property, liability), retrieves the relevant policy record, assigns the claim to the appropriate adjuster queue, and generates a draft acknowledgment letter — reducing average triage cycle time from 22 minutes to under 4 minutes.</w:t>
      </w:r>
    </w:p>
    <w:p>
      <w:pPr>
        <w:spacing w:before="40" w:after="80"/>
      </w:pPr>
      <w:r>
        <w:rPr>
          <w:i w:val="0"/>
          <w:color w:val="444444"/>
          <w:sz w:val="20"/>
        </w:rPr>
        <w:t>IN SCOPE: Claims submitted via web portal, mobile app, and API. Policy types: auto, homeowners, commercial property. Claim values: any. Jurisdictions: CA, TX, NY, FL (primary), all other US states (secondary).</w:t>
      </w:r>
    </w:p>
    <w:p>
      <w:pPr>
        <w:spacing w:before="40" w:after="80"/>
      </w:pPr>
      <w:r>
        <w:rPr>
          <w:i w:val="0"/>
          <w:color w:val="C62828"/>
          <w:sz w:val="20"/>
        </w:rPr>
        <w:t>OUT OF SCOPE: Coverage determinations. Settlement offers. Denial decisions. Communication with legal counsel. Claims involving fatalities (escalate immediately). Fraud investigations.</w:t>
      </w:r>
    </w:p>
    <w:p/>
    <w:p>
      <w:pPr>
        <w:spacing w:before="280" w:after="80"/>
      </w:pPr>
      <w:r>
        <w:rPr>
          <w:b/>
          <w:color w:val="1A1A1A"/>
          <w:sz w:val="28"/>
        </w:rPr>
        <w:t>SECTION 3: RESPONSIBILITIES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720"/>
        <w:gridCol w:w="2160"/>
        <w:gridCol w:w="6624"/>
      </w:tblGrid>
      <w:tr>
        <w:tc>
          <w:tcPr>
            <w:tcW w:type="dxa" w:w="3120"/>
            <w:shd w:val="clear" w:color="auto" w:fill="1A1A1A"/>
          </w:tcPr>
          <w:p>
            <w:r>
              <w:rPr>
                <w:b/>
                <w:color w:val="FFFFFF"/>
                <w:sz w:val="18"/>
              </w:rPr>
              <w:t>ID</w:t>
            </w:r>
          </w:p>
        </w:tc>
        <w:tc>
          <w:tcPr>
            <w:tcW w:type="dxa" w:w="3120"/>
            <w:shd w:val="clear" w:color="auto" w:fill="1A1A1A"/>
          </w:tcPr>
          <w:p>
            <w:r>
              <w:rPr>
                <w:b/>
                <w:color w:val="FFFFFF"/>
                <w:sz w:val="18"/>
              </w:rPr>
              <w:t>RESPONSIBILITY</w:t>
            </w:r>
          </w:p>
        </w:tc>
        <w:tc>
          <w:tcPr>
            <w:tcW w:type="dxa" w:w="3120"/>
            <w:shd w:val="clear" w:color="auto" w:fill="1A1A1A"/>
          </w:tcPr>
          <w:p>
            <w:r>
              <w:rPr>
                <w:b/>
                <w:color w:val="FFFFFF"/>
                <w:sz w:val="18"/>
              </w:rPr>
              <w:t>DESCRIPTION</w:t>
            </w:r>
          </w:p>
        </w:tc>
      </w:tr>
      <w:tr>
        <w:tc>
          <w:tcPr>
            <w:tcW w:type="dxa" w:w="720"/>
            <w:shd w:val="clear" w:color="auto" w:fill="1E3A5F"/>
          </w:tcPr>
          <w:p>
            <w:r>
              <w:rPr>
                <w:b/>
                <w:color w:val="FFFFFF"/>
                <w:sz w:val="18"/>
              </w:rPr>
              <w:t>R1</w:t>
            </w:r>
          </w:p>
        </w:tc>
        <w:tc>
          <w:tcPr>
            <w:tcW w:type="dxa" w:w="2160"/>
            <w:shd w:val="clear" w:color="auto" w:fill="F0FFD8"/>
          </w:tcPr>
          <w:p>
            <w:r>
              <w:rPr>
                <w:b/>
                <w:color w:val="1A1A1A"/>
                <w:sz w:val="18"/>
              </w:rPr>
              <w:t>Claim Intake</w:t>
            </w:r>
          </w:p>
        </w:tc>
        <w:tc>
          <w:tcPr>
            <w:tcW w:type="dxa" w:w="6624"/>
            <w:shd w:val="clear" w:color="auto" w:fill="FAFAF8"/>
          </w:tcPr>
          <w:p>
            <w:r>
              <w:rPr>
                <w:b w:val="0"/>
                <w:color w:val="444444"/>
                <w:sz w:val="18"/>
              </w:rPr>
              <w:t>Receive and parse FNOL submissions from all channels within 30 seconds of receipt.</w:t>
            </w:r>
          </w:p>
        </w:tc>
      </w:tr>
      <w:tr>
        <w:tc>
          <w:tcPr>
            <w:tcW w:type="dxa" w:w="720"/>
            <w:shd w:val="clear" w:color="auto" w:fill="1E3A5F"/>
          </w:tcPr>
          <w:p>
            <w:r>
              <w:rPr>
                <w:b/>
                <w:color w:val="FFFFFF"/>
                <w:sz w:val="18"/>
              </w:rPr>
              <w:t>R2</w:t>
            </w:r>
          </w:p>
        </w:tc>
        <w:tc>
          <w:tcPr>
            <w:tcW w:type="dxa" w:w="2160"/>
            <w:shd w:val="clear" w:color="auto" w:fill="F0FFD8"/>
          </w:tcPr>
          <w:p>
            <w:r>
              <w:rPr>
                <w:b/>
                <w:color w:val="1A1A1A"/>
                <w:sz w:val="18"/>
              </w:rPr>
              <w:t>Policy Lookup</w:t>
            </w:r>
          </w:p>
        </w:tc>
        <w:tc>
          <w:tcPr>
            <w:tcW w:type="dxa" w:w="6624"/>
            <w:shd w:val="clear" w:color="auto" w:fill="FAFAF8"/>
          </w:tcPr>
          <w:p>
            <w:r>
              <w:rPr>
                <w:b w:val="0"/>
                <w:color w:val="444444"/>
                <w:sz w:val="18"/>
              </w:rPr>
              <w:t>Query Guidewire ClaimCenter API to retrieve active policy for the claimant. Handle policy-not-found with escalation.</w:t>
            </w:r>
          </w:p>
        </w:tc>
      </w:tr>
      <w:tr>
        <w:tc>
          <w:tcPr>
            <w:tcW w:type="dxa" w:w="720"/>
            <w:shd w:val="clear" w:color="auto" w:fill="1E3A5F"/>
          </w:tcPr>
          <w:p>
            <w:r>
              <w:rPr>
                <w:b/>
                <w:color w:val="FFFFFF"/>
                <w:sz w:val="18"/>
              </w:rPr>
              <w:t>R3</w:t>
            </w:r>
          </w:p>
        </w:tc>
        <w:tc>
          <w:tcPr>
            <w:tcW w:type="dxa" w:w="2160"/>
            <w:shd w:val="clear" w:color="auto" w:fill="F0FFD8"/>
          </w:tcPr>
          <w:p>
            <w:r>
              <w:rPr>
                <w:b/>
                <w:color w:val="1A1A1A"/>
                <w:sz w:val="18"/>
              </w:rPr>
              <w:t>Claim Classification</w:t>
            </w:r>
          </w:p>
        </w:tc>
        <w:tc>
          <w:tcPr>
            <w:tcW w:type="dxa" w:w="6624"/>
            <w:shd w:val="clear" w:color="auto" w:fill="FAFAF8"/>
          </w:tcPr>
          <w:p>
            <w:r>
              <w:rPr>
                <w:b w:val="0"/>
                <w:color w:val="444444"/>
                <w:sz w:val="18"/>
              </w:rPr>
              <w:t>Classify claim type (auto/property/liability/multi-peril) with confidence score. Escalate if confidence &lt;85%.</w:t>
            </w:r>
          </w:p>
        </w:tc>
      </w:tr>
      <w:tr>
        <w:tc>
          <w:tcPr>
            <w:tcW w:type="dxa" w:w="720"/>
            <w:shd w:val="clear" w:color="auto" w:fill="1E3A5F"/>
          </w:tcPr>
          <w:p>
            <w:r>
              <w:rPr>
                <w:b/>
                <w:color w:val="FFFFFF"/>
                <w:sz w:val="18"/>
              </w:rPr>
              <w:t>R4</w:t>
            </w:r>
          </w:p>
        </w:tc>
        <w:tc>
          <w:tcPr>
            <w:tcW w:type="dxa" w:w="2160"/>
            <w:shd w:val="clear" w:color="auto" w:fill="F0FFD8"/>
          </w:tcPr>
          <w:p>
            <w:r>
              <w:rPr>
                <w:b/>
                <w:color w:val="1A1A1A"/>
                <w:sz w:val="18"/>
              </w:rPr>
              <w:t>Adjuster Assignment</w:t>
            </w:r>
          </w:p>
        </w:tc>
        <w:tc>
          <w:tcPr>
            <w:tcW w:type="dxa" w:w="6624"/>
            <w:shd w:val="clear" w:color="auto" w:fill="FAFAF8"/>
          </w:tcPr>
          <w:p>
            <w:r>
              <w:rPr>
                <w:b w:val="0"/>
                <w:color w:val="444444"/>
                <w:sz w:val="18"/>
              </w:rPr>
              <w:t>Route claim to the correct adjuster queue based on claim type, jurisdiction, and adjuster workload.</w:t>
            </w:r>
          </w:p>
        </w:tc>
      </w:tr>
      <w:tr>
        <w:tc>
          <w:tcPr>
            <w:tcW w:type="dxa" w:w="720"/>
            <w:shd w:val="clear" w:color="auto" w:fill="1E3A5F"/>
          </w:tcPr>
          <w:p>
            <w:r>
              <w:rPr>
                <w:b/>
                <w:color w:val="FFFFFF"/>
                <w:sz w:val="18"/>
              </w:rPr>
              <w:t>R5</w:t>
            </w:r>
          </w:p>
        </w:tc>
        <w:tc>
          <w:tcPr>
            <w:tcW w:type="dxa" w:w="2160"/>
            <w:shd w:val="clear" w:color="auto" w:fill="F0FFD8"/>
          </w:tcPr>
          <w:p>
            <w:r>
              <w:rPr>
                <w:b/>
                <w:color w:val="1A1A1A"/>
                <w:sz w:val="18"/>
              </w:rPr>
              <w:t>Acknowledgment Draft</w:t>
            </w:r>
          </w:p>
        </w:tc>
        <w:tc>
          <w:tcPr>
            <w:tcW w:type="dxa" w:w="6624"/>
            <w:shd w:val="clear" w:color="auto" w:fill="FAFAF8"/>
          </w:tcPr>
          <w:p>
            <w:r>
              <w:rPr>
                <w:b w:val="0"/>
                <w:color w:val="444444"/>
                <w:sz w:val="18"/>
              </w:rPr>
              <w:t>Generate a personalized acknowledgment letter draft using approved templates. Flag for human review before sending.</w:t>
            </w:r>
          </w:p>
        </w:tc>
      </w:tr>
      <w:tr>
        <w:tc>
          <w:tcPr>
            <w:tcW w:type="dxa" w:w="720"/>
            <w:shd w:val="clear" w:color="auto" w:fill="1E3A5F"/>
          </w:tcPr>
          <w:p>
            <w:r>
              <w:rPr>
                <w:b/>
                <w:color w:val="FFFFFF"/>
                <w:sz w:val="18"/>
              </w:rPr>
              <w:t>R6</w:t>
            </w:r>
          </w:p>
        </w:tc>
        <w:tc>
          <w:tcPr>
            <w:tcW w:type="dxa" w:w="2160"/>
            <w:shd w:val="clear" w:color="auto" w:fill="F0FFD8"/>
          </w:tcPr>
          <w:p>
            <w:r>
              <w:rPr>
                <w:b/>
                <w:color w:val="1A1A1A"/>
                <w:sz w:val="18"/>
              </w:rPr>
              <w:t>Audit Logging</w:t>
            </w:r>
          </w:p>
        </w:tc>
        <w:tc>
          <w:tcPr>
            <w:tcW w:type="dxa" w:w="6624"/>
            <w:shd w:val="clear" w:color="auto" w:fill="FAFAF8"/>
          </w:tcPr>
          <w:p>
            <w:r>
              <w:rPr>
                <w:b w:val="0"/>
                <w:color w:val="444444"/>
                <w:sz w:val="18"/>
              </w:rPr>
              <w:t>Log every action with: timestamp, input, output, model version, tool calls, confidence score, and escalation flag.</w:t>
            </w:r>
          </w:p>
        </w:tc>
      </w:tr>
      <w:tr>
        <w:tc>
          <w:tcPr>
            <w:tcW w:type="dxa" w:w="720"/>
            <w:shd w:val="clear" w:color="auto" w:fill="1E3A5F"/>
          </w:tcPr>
          <w:p>
            <w:r>
              <w:rPr>
                <w:b/>
                <w:color w:val="FFFFFF"/>
                <w:sz w:val="18"/>
              </w:rPr>
              <w:t>R7</w:t>
            </w:r>
          </w:p>
        </w:tc>
        <w:tc>
          <w:tcPr>
            <w:tcW w:type="dxa" w:w="2160"/>
            <w:shd w:val="clear" w:color="auto" w:fill="F0FFD8"/>
          </w:tcPr>
          <w:p>
            <w:r>
              <w:rPr>
                <w:b/>
                <w:color w:val="1A1A1A"/>
                <w:sz w:val="18"/>
              </w:rPr>
              <w:t>Escalation</w:t>
            </w:r>
          </w:p>
        </w:tc>
        <w:tc>
          <w:tcPr>
            <w:tcW w:type="dxa" w:w="6624"/>
            <w:shd w:val="clear" w:color="auto" w:fill="FAFAF8"/>
          </w:tcPr>
          <w:p>
            <w:r>
              <w:rPr>
                <w:b w:val="0"/>
                <w:color w:val="444444"/>
                <w:sz w:val="18"/>
              </w:rPr>
              <w:t>Escalate to Senior Adjuster queue for: confidence &lt;85%, claim value &gt;$50K, injury/fatality indicators, fraud flags.</w:t>
            </w:r>
          </w:p>
        </w:tc>
      </w:tr>
      <w:tr>
        <w:tc>
          <w:tcPr>
            <w:tcW w:type="dxa" w:w="720"/>
            <w:shd w:val="clear" w:color="auto" w:fill="1E3A5F"/>
          </w:tcPr>
          <w:p>
            <w:r>
              <w:rPr>
                <w:b/>
                <w:color w:val="FFFFFF"/>
                <w:sz w:val="18"/>
              </w:rPr>
              <w:t>R8</w:t>
            </w:r>
          </w:p>
        </w:tc>
        <w:tc>
          <w:tcPr>
            <w:tcW w:type="dxa" w:w="2160"/>
            <w:shd w:val="clear" w:color="auto" w:fill="F0FFD8"/>
          </w:tcPr>
          <w:p>
            <w:r>
              <w:rPr>
                <w:b/>
                <w:color w:val="1A1A1A"/>
                <w:sz w:val="18"/>
              </w:rPr>
              <w:t>SLA Monitoring</w:t>
            </w:r>
          </w:p>
        </w:tc>
        <w:tc>
          <w:tcPr>
            <w:tcW w:type="dxa" w:w="6624"/>
            <w:shd w:val="clear" w:color="auto" w:fill="FAFAF8"/>
          </w:tcPr>
          <w:p>
            <w:r>
              <w:rPr>
                <w:b w:val="0"/>
                <w:color w:val="444444"/>
                <w:sz w:val="18"/>
              </w:rPr>
              <w:t>Track own cycle time. Alert ops-ai-alerts@acmecorp.com if p95 latency exceeds 3.5 minutes.</w:t>
            </w:r>
          </w:p>
        </w:tc>
      </w:tr>
    </w:tbl>
    <w:p/>
    <w:p>
      <w:pPr>
        <w:spacing w:before="280" w:after="80"/>
      </w:pPr>
      <w:r>
        <w:rPr>
          <w:b/>
          <w:color w:val="1A1A1A"/>
          <w:sz w:val="28"/>
        </w:rPr>
        <w:t>SECTION 4: PERMISSIONS &amp; CONSTRAINTS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28"/>
        <w:gridCol w:w="4032"/>
        <w:gridCol w:w="3744"/>
      </w:tblGrid>
      <w:tr>
        <w:tc>
          <w:tcPr>
            <w:tcW w:type="dxa" w:w="3120"/>
            <w:shd w:val="clear" w:color="auto" w:fill="1A1A1A"/>
          </w:tcPr>
          <w:p>
            <w:r>
              <w:rPr>
                <w:b/>
                <w:color w:val="FFFFFF"/>
                <w:sz w:val="18"/>
              </w:rPr>
              <w:t>CATEGORY</w:t>
            </w:r>
          </w:p>
        </w:tc>
        <w:tc>
          <w:tcPr>
            <w:tcW w:type="dxa" w:w="3120"/>
            <w:shd w:val="clear" w:color="auto" w:fill="1A1A1A"/>
          </w:tcPr>
          <w:p>
            <w:r>
              <w:rPr>
                <w:b/>
                <w:color w:val="FFFFFF"/>
                <w:sz w:val="18"/>
              </w:rPr>
              <w:t>PERMITTED</w:t>
            </w:r>
          </w:p>
        </w:tc>
        <w:tc>
          <w:tcPr>
            <w:tcW w:type="dxa" w:w="3120"/>
            <w:shd w:val="clear" w:color="auto" w:fill="1A1A1A"/>
          </w:tcPr>
          <w:p>
            <w:r>
              <w:rPr>
                <w:b/>
                <w:color w:val="FFFFFF"/>
                <w:sz w:val="18"/>
              </w:rPr>
              <w:t>PROHIBITED</w:t>
            </w:r>
          </w:p>
        </w:tc>
      </w:tr>
      <w:tr>
        <w:tc>
          <w:tcPr>
            <w:tcW w:type="dxa" w:w="1728"/>
            <w:shd w:val="clear" w:color="auto" w:fill="F5F5F5"/>
          </w:tcPr>
          <w:p>
            <w:r>
              <w:rPr>
                <w:b/>
                <w:color w:val="1A1A1A"/>
                <w:sz w:val="18"/>
              </w:rPr>
              <w:t>DATA ACCESS</w:t>
            </w:r>
          </w:p>
        </w:tc>
        <w:tc>
          <w:tcPr>
            <w:tcW w:type="dxa" w:w="4032"/>
            <w:shd w:val="clear" w:color="auto" w:fill="E8F5E9"/>
          </w:tcPr>
          <w:p>
            <w:r>
              <w:rPr>
                <w:b w:val="0"/>
                <w:color w:val="444444"/>
                <w:sz w:val="18"/>
              </w:rPr>
              <w:t>Read: claim form, policy record, claimant history (24 months), adjuster queue status</w:t>
            </w:r>
          </w:p>
        </w:tc>
        <w:tc>
          <w:tcPr>
            <w:tcW w:type="dxa" w:w="3744"/>
            <w:shd w:val="clear" w:color="auto" w:fill="FFEBEE"/>
          </w:tcPr>
          <w:p>
            <w:r>
              <w:rPr>
                <w:b w:val="0"/>
                <w:color w:val="444444"/>
                <w:sz w:val="18"/>
              </w:rPr>
              <w:t>Read: financial reserves, SSN full, attorney notes, internal fraud flags</w:t>
            </w:r>
          </w:p>
        </w:tc>
      </w:tr>
      <w:tr>
        <w:tc>
          <w:tcPr>
            <w:tcW w:type="dxa" w:w="1728"/>
            <w:shd w:val="clear" w:color="auto" w:fill="F5F5F5"/>
          </w:tcPr>
          <w:p>
            <w:r>
              <w:rPr>
                <w:b/>
                <w:color w:val="1A1A1A"/>
                <w:sz w:val="18"/>
              </w:rPr>
              <w:t>ACTIONS</w:t>
            </w:r>
          </w:p>
        </w:tc>
        <w:tc>
          <w:tcPr>
            <w:tcW w:type="dxa" w:w="4032"/>
            <w:shd w:val="clear" w:color="auto" w:fill="E8F5E9"/>
          </w:tcPr>
          <w:p>
            <w:r>
              <w:rPr>
                <w:b w:val="0"/>
                <w:color w:val="444444"/>
                <w:sz w:val="18"/>
              </w:rPr>
              <w:t>Write to routing queue. Generate letter draft. Log to audit system. Send escalation alerts.</w:t>
            </w:r>
          </w:p>
        </w:tc>
        <w:tc>
          <w:tcPr>
            <w:tcW w:type="dxa" w:w="3744"/>
            <w:shd w:val="clear" w:color="auto" w:fill="FFEBEE"/>
          </w:tcPr>
          <w:p>
            <w:r>
              <w:rPr>
                <w:b w:val="0"/>
                <w:color w:val="444444"/>
                <w:sz w:val="18"/>
              </w:rPr>
              <w:t>Send letters without human approval. Make coverage decisions. Access financial systems.</w:t>
            </w:r>
          </w:p>
        </w:tc>
      </w:tr>
      <w:tr>
        <w:tc>
          <w:tcPr>
            <w:tcW w:type="dxa" w:w="1728"/>
            <w:shd w:val="clear" w:color="auto" w:fill="F5F5F5"/>
          </w:tcPr>
          <w:p>
            <w:r>
              <w:rPr>
                <w:b/>
                <w:color w:val="1A1A1A"/>
                <w:sz w:val="18"/>
              </w:rPr>
              <w:t>COMMUNICATIONS</w:t>
            </w:r>
          </w:p>
        </w:tc>
        <w:tc>
          <w:tcPr>
            <w:tcW w:type="dxa" w:w="4032"/>
            <w:shd w:val="clear" w:color="auto" w:fill="E8F5E9"/>
          </w:tcPr>
          <w:p>
            <w:r>
              <w:rPr>
                <w:b w:val="0"/>
                <w:color w:val="444444"/>
                <w:sz w:val="18"/>
              </w:rPr>
              <w:t>Internal system writes (queue, audit log). Escalation alerts to ops team.</w:t>
            </w:r>
          </w:p>
        </w:tc>
        <w:tc>
          <w:tcPr>
            <w:tcW w:type="dxa" w:w="3744"/>
            <w:shd w:val="clear" w:color="auto" w:fill="FFEBEE"/>
          </w:tcPr>
          <w:p>
            <w:r>
              <w:rPr>
                <w:b w:val="0"/>
                <w:color w:val="444444"/>
                <w:sz w:val="18"/>
              </w:rPr>
              <w:t>Direct communication with claimants. Communication with legal counsel. External emails.</w:t>
            </w:r>
          </w:p>
        </w:tc>
      </w:tr>
      <w:tr>
        <w:tc>
          <w:tcPr>
            <w:tcW w:type="dxa" w:w="1728"/>
            <w:shd w:val="clear" w:color="auto" w:fill="F5F5F5"/>
          </w:tcPr>
          <w:p>
            <w:r>
              <w:rPr>
                <w:b/>
                <w:color w:val="1A1A1A"/>
                <w:sz w:val="18"/>
              </w:rPr>
              <w:t>SPEND</w:t>
            </w:r>
          </w:p>
        </w:tc>
        <w:tc>
          <w:tcPr>
            <w:tcW w:type="dxa" w:w="4032"/>
            <w:shd w:val="clear" w:color="auto" w:fill="E8F5E9"/>
          </w:tcPr>
          <w:p>
            <w:r>
              <w:rPr>
                <w:b w:val="0"/>
                <w:color w:val="444444"/>
                <w:sz w:val="18"/>
              </w:rPr>
              <w:t>No financial authority. Zero spend limit.</w:t>
            </w:r>
          </w:p>
        </w:tc>
        <w:tc>
          <w:tcPr>
            <w:tcW w:type="dxa" w:w="3744"/>
            <w:shd w:val="clear" w:color="auto" w:fill="FFEBEE"/>
          </w:tcPr>
          <w:p>
            <w:r>
              <w:rPr>
                <w:b w:val="0"/>
                <w:color w:val="444444"/>
                <w:sz w:val="18"/>
              </w:rPr>
              <w:t>Any financial transaction, payment, or commitment.</w:t>
            </w:r>
          </w:p>
        </w:tc>
      </w:tr>
    </w:tbl>
    <w:p/>
    <w:p>
      <w:pPr>
        <w:spacing w:before="280" w:after="80"/>
      </w:pPr>
      <w:r>
        <w:rPr>
          <w:b/>
          <w:color w:val="1A1A1A"/>
          <w:sz w:val="28"/>
        </w:rPr>
        <w:t>SECTION 5: SUCCESS METRICS &amp; SLAs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1872"/>
        <w:gridCol w:w="2160"/>
        <w:gridCol w:w="1440"/>
      </w:tblGrid>
      <w:tr>
        <w:tc>
          <w:tcPr>
            <w:tcW w:type="dxa" w:w="2340"/>
            <w:shd w:val="clear" w:color="auto" w:fill="1A1A1A"/>
          </w:tcPr>
          <w:p>
            <w:r>
              <w:rPr>
                <w:b/>
                <w:color w:val="FFFFFF"/>
                <w:sz w:val="18"/>
              </w:rPr>
              <w:t>METRIC</w:t>
            </w:r>
          </w:p>
        </w:tc>
        <w:tc>
          <w:tcPr>
            <w:tcW w:type="dxa" w:w="2340"/>
            <w:shd w:val="clear" w:color="auto" w:fill="1A1A1A"/>
          </w:tcPr>
          <w:p>
            <w:r>
              <w:rPr>
                <w:b/>
                <w:color w:val="FFFFFF"/>
                <w:sz w:val="18"/>
              </w:rPr>
              <w:t>TARGET</w:t>
            </w:r>
          </w:p>
        </w:tc>
        <w:tc>
          <w:tcPr>
            <w:tcW w:type="dxa" w:w="2340"/>
            <w:shd w:val="clear" w:color="auto" w:fill="1A1A1A"/>
          </w:tcPr>
          <w:p>
            <w:r>
              <w:rPr>
                <w:b/>
                <w:color w:val="FFFFFF"/>
                <w:sz w:val="18"/>
              </w:rPr>
              <w:t>PILOT RESULT</w:t>
            </w:r>
          </w:p>
        </w:tc>
        <w:tc>
          <w:tcPr>
            <w:tcW w:type="dxa" w:w="2340"/>
            <w:shd w:val="clear" w:color="auto" w:fill="1A1A1A"/>
          </w:tcPr>
          <w:p>
            <w:r>
              <w:rPr>
                <w:b/>
                <w:color w:val="FFFFFF"/>
                <w:sz w:val="18"/>
              </w:rPr>
              <w:t>STATUS</w:t>
            </w:r>
          </w:p>
        </w:tc>
      </w:tr>
      <w:tr>
        <w:tc>
          <w:tcPr>
            <w:tcW w:type="dxa" w:w="2880"/>
            <w:shd w:val="clear" w:color="auto" w:fill="FAFAF8"/>
          </w:tcPr>
          <w:p>
            <w:pPr>
              <w:jc w:val="left"/>
            </w:pPr>
            <w:r>
              <w:rPr>
                <w:b w:val="0"/>
                <w:color w:val="444444"/>
                <w:sz w:val="18"/>
              </w:rPr>
              <w:t>Triage Accuracy</w:t>
            </w:r>
          </w:p>
        </w:tc>
        <w:tc>
          <w:tcPr>
            <w:tcW w:type="dxa" w:w="1872"/>
            <w:shd w:val="clear" w:color="auto" w:fill="F5F5F5"/>
          </w:tcPr>
          <w:p>
            <w:pPr>
              <w:jc w:val="left"/>
            </w:pPr>
            <w:r>
              <w:rPr>
                <w:b/>
                <w:color w:val="1A1A1A"/>
                <w:sz w:val="18"/>
              </w:rPr>
              <w:t>≥ 92%</w:t>
            </w:r>
          </w:p>
        </w:tc>
        <w:tc>
          <w:tcPr>
            <w:tcW w:type="dxa" w:w="2160"/>
            <w:shd w:val="clear" w:color="auto" w:fill="F0FFD8"/>
          </w:tcPr>
          <w:p>
            <w:pPr>
              <w:jc w:val="left"/>
            </w:pPr>
            <w:r>
              <w:rPr>
                <w:b w:val="0"/>
                <w:color w:val="444444"/>
                <w:sz w:val="18"/>
              </w:rPr>
              <w:t>94.2% (pilot)</w:t>
            </w:r>
          </w:p>
        </w:tc>
        <w:tc>
          <w:tcPr>
            <w:tcW w:type="dxa" w:w="1440"/>
            <w:shd w:val="clear" w:color="auto" w:fill="2E7D32"/>
          </w:tcPr>
          <w:p>
            <w:pPr>
              <w:jc w:val="left"/>
            </w:pPr>
            <w:r>
              <w:rPr>
                <w:b/>
                <w:color w:val="FFFFFF"/>
                <w:sz w:val="18"/>
              </w:rPr>
              <w:t>GREEN</w:t>
            </w:r>
          </w:p>
        </w:tc>
      </w:tr>
      <w:tr>
        <w:tc>
          <w:tcPr>
            <w:tcW w:type="dxa" w:w="2880"/>
            <w:shd w:val="clear" w:color="auto" w:fill="FAFAF8"/>
          </w:tcPr>
          <w:p>
            <w:pPr>
              <w:jc w:val="left"/>
            </w:pPr>
            <w:r>
              <w:rPr>
                <w:b w:val="0"/>
                <w:color w:val="444444"/>
                <w:sz w:val="18"/>
              </w:rPr>
              <w:t>Cycle Time (p95)</w:t>
            </w:r>
          </w:p>
        </w:tc>
        <w:tc>
          <w:tcPr>
            <w:tcW w:type="dxa" w:w="1872"/>
            <w:shd w:val="clear" w:color="auto" w:fill="F5F5F5"/>
          </w:tcPr>
          <w:p>
            <w:pPr>
              <w:jc w:val="left"/>
            </w:pPr>
            <w:r>
              <w:rPr>
                <w:b/>
                <w:color w:val="1A1A1A"/>
                <w:sz w:val="18"/>
              </w:rPr>
              <w:t>&lt; 4 min</w:t>
            </w:r>
          </w:p>
        </w:tc>
        <w:tc>
          <w:tcPr>
            <w:tcW w:type="dxa" w:w="2160"/>
            <w:shd w:val="clear" w:color="auto" w:fill="F0FFD8"/>
          </w:tcPr>
          <w:p>
            <w:pPr>
              <w:jc w:val="left"/>
            </w:pPr>
            <w:r>
              <w:rPr>
                <w:b w:val="0"/>
                <w:color w:val="444444"/>
                <w:sz w:val="18"/>
              </w:rPr>
              <w:t>3.2 min (pilot)</w:t>
            </w:r>
          </w:p>
        </w:tc>
        <w:tc>
          <w:tcPr>
            <w:tcW w:type="dxa" w:w="1440"/>
            <w:shd w:val="clear" w:color="auto" w:fill="2E7D32"/>
          </w:tcPr>
          <w:p>
            <w:pPr>
              <w:jc w:val="left"/>
            </w:pPr>
            <w:r>
              <w:rPr>
                <w:b/>
                <w:color w:val="FFFFFF"/>
                <w:sz w:val="18"/>
              </w:rPr>
              <w:t>GREEN</w:t>
            </w:r>
          </w:p>
        </w:tc>
      </w:tr>
      <w:tr>
        <w:tc>
          <w:tcPr>
            <w:tcW w:type="dxa" w:w="2880"/>
            <w:shd w:val="clear" w:color="auto" w:fill="FAFAF8"/>
          </w:tcPr>
          <w:p>
            <w:pPr>
              <w:jc w:val="left"/>
            </w:pPr>
            <w:r>
              <w:rPr>
                <w:b w:val="0"/>
                <w:color w:val="444444"/>
                <w:sz w:val="18"/>
              </w:rPr>
              <w:t>Cost per Claim Intake</w:t>
            </w:r>
          </w:p>
        </w:tc>
        <w:tc>
          <w:tcPr>
            <w:tcW w:type="dxa" w:w="1872"/>
            <w:shd w:val="clear" w:color="auto" w:fill="F5F5F5"/>
          </w:tcPr>
          <w:p>
            <w:pPr>
              <w:jc w:val="left"/>
            </w:pPr>
            <w:r>
              <w:rPr>
                <w:b/>
                <w:color w:val="1A1A1A"/>
                <w:sz w:val="18"/>
              </w:rPr>
              <w:t>&lt; $2.50</w:t>
            </w:r>
          </w:p>
        </w:tc>
        <w:tc>
          <w:tcPr>
            <w:tcW w:type="dxa" w:w="2160"/>
            <w:shd w:val="clear" w:color="auto" w:fill="F0FFD8"/>
          </w:tcPr>
          <w:p>
            <w:pPr>
              <w:jc w:val="left"/>
            </w:pPr>
            <w:r>
              <w:rPr>
                <w:b w:val="0"/>
                <w:color w:val="444444"/>
                <w:sz w:val="18"/>
              </w:rPr>
              <w:t>$1.84 (pilot)</w:t>
            </w:r>
          </w:p>
        </w:tc>
        <w:tc>
          <w:tcPr>
            <w:tcW w:type="dxa" w:w="1440"/>
            <w:shd w:val="clear" w:color="auto" w:fill="2E7D32"/>
          </w:tcPr>
          <w:p>
            <w:pPr>
              <w:jc w:val="left"/>
            </w:pPr>
            <w:r>
              <w:rPr>
                <w:b/>
                <w:color w:val="FFFFFF"/>
                <w:sz w:val="18"/>
              </w:rPr>
              <w:t>GREEN</w:t>
            </w:r>
          </w:p>
        </w:tc>
      </w:tr>
      <w:tr>
        <w:tc>
          <w:tcPr>
            <w:tcW w:type="dxa" w:w="2880"/>
            <w:shd w:val="clear" w:color="auto" w:fill="FAFAF8"/>
          </w:tcPr>
          <w:p>
            <w:pPr>
              <w:jc w:val="left"/>
            </w:pPr>
            <w:r>
              <w:rPr>
                <w:b w:val="0"/>
                <w:color w:val="444444"/>
                <w:sz w:val="18"/>
              </w:rPr>
              <w:t>Escalation Rate</w:t>
            </w:r>
          </w:p>
        </w:tc>
        <w:tc>
          <w:tcPr>
            <w:tcW w:type="dxa" w:w="1872"/>
            <w:shd w:val="clear" w:color="auto" w:fill="F5F5F5"/>
          </w:tcPr>
          <w:p>
            <w:pPr>
              <w:jc w:val="left"/>
            </w:pPr>
            <w:r>
              <w:rPr>
                <w:b/>
                <w:color w:val="1A1A1A"/>
                <w:sz w:val="18"/>
              </w:rPr>
              <w:t>5–15%</w:t>
            </w:r>
          </w:p>
        </w:tc>
        <w:tc>
          <w:tcPr>
            <w:tcW w:type="dxa" w:w="2160"/>
            <w:shd w:val="clear" w:color="auto" w:fill="F0FFD8"/>
          </w:tcPr>
          <w:p>
            <w:pPr>
              <w:jc w:val="left"/>
            </w:pPr>
            <w:r>
              <w:rPr>
                <w:b w:val="0"/>
                <w:color w:val="444444"/>
                <w:sz w:val="18"/>
              </w:rPr>
              <w:t>8.3% (pilot)</w:t>
            </w:r>
          </w:p>
        </w:tc>
        <w:tc>
          <w:tcPr>
            <w:tcW w:type="dxa" w:w="1440"/>
            <w:shd w:val="clear" w:color="auto" w:fill="2E7D32"/>
          </w:tcPr>
          <w:p>
            <w:pPr>
              <w:jc w:val="left"/>
            </w:pPr>
            <w:r>
              <w:rPr>
                <w:b/>
                <w:color w:val="FFFFFF"/>
                <w:sz w:val="18"/>
              </w:rPr>
              <w:t>GREEN</w:t>
            </w:r>
          </w:p>
        </w:tc>
      </w:tr>
      <w:tr>
        <w:tc>
          <w:tcPr>
            <w:tcW w:type="dxa" w:w="2880"/>
            <w:shd w:val="clear" w:color="auto" w:fill="FAFAF8"/>
          </w:tcPr>
          <w:p>
            <w:pPr>
              <w:jc w:val="left"/>
            </w:pPr>
            <w:r>
              <w:rPr>
                <w:b w:val="0"/>
                <w:color w:val="444444"/>
                <w:sz w:val="18"/>
              </w:rPr>
              <w:t>Audit Trail Coverage</w:t>
            </w:r>
          </w:p>
        </w:tc>
        <w:tc>
          <w:tcPr>
            <w:tcW w:type="dxa" w:w="1872"/>
            <w:shd w:val="clear" w:color="auto" w:fill="F5F5F5"/>
          </w:tcPr>
          <w:p>
            <w:pPr>
              <w:jc w:val="left"/>
            </w:pPr>
            <w:r>
              <w:rPr>
                <w:b/>
                <w:color w:val="1A1A1A"/>
                <w:sz w:val="18"/>
              </w:rPr>
              <w:t>100%</w:t>
            </w:r>
          </w:p>
        </w:tc>
        <w:tc>
          <w:tcPr>
            <w:tcW w:type="dxa" w:w="2160"/>
            <w:shd w:val="clear" w:color="auto" w:fill="F0FFD8"/>
          </w:tcPr>
          <w:p>
            <w:pPr>
              <w:jc w:val="left"/>
            </w:pPr>
            <w:r>
              <w:rPr>
                <w:b w:val="0"/>
                <w:color w:val="444444"/>
                <w:sz w:val="18"/>
              </w:rPr>
              <w:t>99.97% (pilot)</w:t>
            </w:r>
          </w:p>
        </w:tc>
        <w:tc>
          <w:tcPr>
            <w:tcW w:type="dxa" w:w="1440"/>
            <w:shd w:val="clear" w:color="auto" w:fill="F57F17"/>
          </w:tcPr>
          <w:p>
            <w:pPr>
              <w:jc w:val="left"/>
            </w:pPr>
            <w:r>
              <w:rPr>
                <w:b/>
                <w:color w:val="FFFFFF"/>
                <w:sz w:val="18"/>
              </w:rPr>
              <w:t>YELLOW</w:t>
            </w:r>
          </w:p>
        </w:tc>
      </w:tr>
      <w:tr>
        <w:tc>
          <w:tcPr>
            <w:tcW w:type="dxa" w:w="2880"/>
            <w:shd w:val="clear" w:color="auto" w:fill="FAFAF8"/>
          </w:tcPr>
          <w:p>
            <w:pPr>
              <w:jc w:val="left"/>
            </w:pPr>
            <w:r>
              <w:rPr>
                <w:b w:val="0"/>
                <w:color w:val="444444"/>
                <w:sz w:val="18"/>
              </w:rPr>
              <w:t>Adjuster Satisfaction (CSAT)</w:t>
            </w:r>
          </w:p>
        </w:tc>
        <w:tc>
          <w:tcPr>
            <w:tcW w:type="dxa" w:w="1872"/>
            <w:shd w:val="clear" w:color="auto" w:fill="F5F5F5"/>
          </w:tcPr>
          <w:p>
            <w:pPr>
              <w:jc w:val="left"/>
            </w:pPr>
            <w:r>
              <w:rPr>
                <w:b/>
                <w:color w:val="1A1A1A"/>
                <w:sz w:val="18"/>
              </w:rPr>
              <w:t>≥ 4.2 / 5.0</w:t>
            </w:r>
          </w:p>
        </w:tc>
        <w:tc>
          <w:tcPr>
            <w:tcW w:type="dxa" w:w="2160"/>
            <w:shd w:val="clear" w:color="auto" w:fill="F0FFD8"/>
          </w:tcPr>
          <w:p>
            <w:pPr>
              <w:jc w:val="left"/>
            </w:pPr>
            <w:r>
              <w:rPr>
                <w:b w:val="0"/>
                <w:color w:val="444444"/>
                <w:sz w:val="18"/>
              </w:rPr>
              <w:t>4.4 (pilot)</w:t>
            </w:r>
          </w:p>
        </w:tc>
        <w:tc>
          <w:tcPr>
            <w:tcW w:type="dxa" w:w="1440"/>
            <w:shd w:val="clear" w:color="auto" w:fill="2E7D32"/>
          </w:tcPr>
          <w:p>
            <w:pPr>
              <w:jc w:val="left"/>
            </w:pPr>
            <w:r>
              <w:rPr>
                <w:b/>
                <w:color w:val="FFFFFF"/>
                <w:sz w:val="18"/>
              </w:rPr>
              <w:t>GREEN</w:t>
            </w:r>
          </w:p>
        </w:tc>
      </w:tr>
      <w:tr>
        <w:tc>
          <w:tcPr>
            <w:tcW w:type="dxa" w:w="2880"/>
            <w:shd w:val="clear" w:color="auto" w:fill="FAFAF8"/>
          </w:tcPr>
          <w:p>
            <w:pPr>
              <w:jc w:val="left"/>
            </w:pPr>
            <w:r>
              <w:rPr>
                <w:b w:val="0"/>
                <w:color w:val="444444"/>
                <w:sz w:val="18"/>
              </w:rPr>
              <w:t>Uptime</w:t>
            </w:r>
          </w:p>
        </w:tc>
        <w:tc>
          <w:tcPr>
            <w:tcW w:type="dxa" w:w="1872"/>
            <w:shd w:val="clear" w:color="auto" w:fill="F5F5F5"/>
          </w:tcPr>
          <w:p>
            <w:pPr>
              <w:jc w:val="left"/>
            </w:pPr>
            <w:r>
              <w:rPr>
                <w:b/>
                <w:color w:val="1A1A1A"/>
                <w:sz w:val="18"/>
              </w:rPr>
              <w:t>≥ 99.5%</w:t>
            </w:r>
          </w:p>
        </w:tc>
        <w:tc>
          <w:tcPr>
            <w:tcW w:type="dxa" w:w="2160"/>
            <w:shd w:val="clear" w:color="auto" w:fill="F0FFD8"/>
          </w:tcPr>
          <w:p>
            <w:pPr>
              <w:jc w:val="left"/>
            </w:pPr>
            <w:r>
              <w:rPr>
                <w:b w:val="0"/>
                <w:color w:val="444444"/>
                <w:sz w:val="18"/>
              </w:rPr>
              <w:t>99.97% (pilot)</w:t>
            </w:r>
          </w:p>
        </w:tc>
        <w:tc>
          <w:tcPr>
            <w:tcW w:type="dxa" w:w="1440"/>
            <w:shd w:val="clear" w:color="auto" w:fill="2E7D32"/>
          </w:tcPr>
          <w:p>
            <w:pPr>
              <w:jc w:val="left"/>
            </w:pPr>
            <w:r>
              <w:rPr>
                <w:b/>
                <w:color w:val="FFFFFF"/>
                <w:sz w:val="18"/>
              </w:rPr>
              <w:t>GREEN</w:t>
            </w:r>
          </w:p>
        </w:tc>
      </w:tr>
    </w:tbl>
    <w:p/>
    <w:p>
      <w:pPr>
        <w:spacing w:before="280" w:after="80"/>
      </w:pPr>
      <w:r>
        <w:rPr>
          <w:b/>
          <w:color w:val="1A1A1A"/>
          <w:sz w:val="28"/>
        </w:rPr>
        <w:t>SECTION 6: GOVERNANCE &amp; OVERSIGHT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592"/>
        <w:gridCol w:w="6768"/>
      </w:tblGrid>
      <w:tr>
        <w:tc>
          <w:tcPr>
            <w:tcW w:type="dxa" w:w="4680"/>
            <w:shd w:val="clear" w:color="auto" w:fill="1A1A1A"/>
          </w:tcPr>
          <w:p>
            <w:r>
              <w:rPr>
                <w:b/>
                <w:color w:val="FFFFFF"/>
                <w:sz w:val="18"/>
              </w:rPr>
              <w:t>GOVERNANCE AREA</w:t>
            </w:r>
          </w:p>
        </w:tc>
        <w:tc>
          <w:tcPr>
            <w:tcW w:type="dxa" w:w="4680"/>
            <w:shd w:val="clear" w:color="auto" w:fill="1A1A1A"/>
          </w:tcPr>
          <w:p>
            <w:r>
              <w:rPr>
                <w:b/>
                <w:color w:val="FFFFFF"/>
                <w:sz w:val="18"/>
              </w:rPr>
              <w:t>POLICY</w:t>
            </w:r>
          </w:p>
        </w:tc>
      </w:tr>
      <w:tr>
        <w:tc>
          <w:tcPr>
            <w:tcW w:type="dxa" w:w="2592"/>
            <w:shd w:val="clear" w:color="auto" w:fill="F5F5F5"/>
          </w:tcPr>
          <w:p>
            <w:r>
              <w:rPr>
                <w:b/>
                <w:color w:val="1A1A1A"/>
                <w:sz w:val="18"/>
              </w:rPr>
              <w:t>Performance Review</w:t>
            </w:r>
          </w:p>
        </w:tc>
        <w:tc>
          <w:tcPr>
            <w:tcW w:type="dxa" w:w="6768"/>
            <w:shd w:val="clear" w:color="auto" w:fill="FAFAF8"/>
          </w:tcPr>
          <w:p>
            <w:r>
              <w:rPr>
                <w:b w:val="0"/>
                <w:color w:val="444444"/>
                <w:sz w:val="18"/>
              </w:rPr>
              <w:t>Weekly: automated dashboard review by Maria Chen. Monthly: full KPI review with CRO.</w:t>
            </w:r>
          </w:p>
        </w:tc>
      </w:tr>
      <w:tr>
        <w:tc>
          <w:tcPr>
            <w:tcW w:type="dxa" w:w="2592"/>
            <w:shd w:val="clear" w:color="auto" w:fill="F5F5F5"/>
          </w:tcPr>
          <w:p>
            <w:r>
              <w:rPr>
                <w:b/>
                <w:color w:val="1A1A1A"/>
                <w:sz w:val="18"/>
              </w:rPr>
              <w:t>Model Updates</w:t>
            </w:r>
          </w:p>
        </w:tc>
        <w:tc>
          <w:tcPr>
            <w:tcW w:type="dxa" w:w="6768"/>
            <w:shd w:val="clear" w:color="auto" w:fill="FAFAF8"/>
          </w:tcPr>
          <w:p>
            <w:r>
              <w:rPr>
                <w:b w:val="0"/>
                <w:color w:val="444444"/>
                <w:sz w:val="18"/>
              </w:rPr>
              <w:t>Any model version change requires: 48-hr staging test, accuracy validation, CRO sign-off before production.</w:t>
            </w:r>
          </w:p>
        </w:tc>
      </w:tr>
      <w:tr>
        <w:tc>
          <w:tcPr>
            <w:tcW w:type="dxa" w:w="2592"/>
            <w:shd w:val="clear" w:color="auto" w:fill="F5F5F5"/>
          </w:tcPr>
          <w:p>
            <w:r>
              <w:rPr>
                <w:b/>
                <w:color w:val="1A1A1A"/>
                <w:sz w:val="18"/>
              </w:rPr>
              <w:t>Incident Response</w:t>
            </w:r>
          </w:p>
        </w:tc>
        <w:tc>
          <w:tcPr>
            <w:tcW w:type="dxa" w:w="6768"/>
            <w:shd w:val="clear" w:color="auto" w:fill="FAFAF8"/>
          </w:tcPr>
          <w:p>
            <w:r>
              <w:rPr>
                <w:b w:val="0"/>
                <w:color w:val="444444"/>
                <w:sz w:val="18"/>
              </w:rPr>
              <w:t>Follow AI Incident Response Playbook (Resource 13). P1 incidents: page David Park immediately.</w:t>
            </w:r>
          </w:p>
        </w:tc>
      </w:tr>
      <w:tr>
        <w:tc>
          <w:tcPr>
            <w:tcW w:type="dxa" w:w="2592"/>
            <w:shd w:val="clear" w:color="auto" w:fill="F5F5F5"/>
          </w:tcPr>
          <w:p>
            <w:r>
              <w:rPr>
                <w:b/>
                <w:color w:val="1A1A1A"/>
                <w:sz w:val="18"/>
              </w:rPr>
              <w:t>Off-Ramp Trigger</w:t>
            </w:r>
          </w:p>
        </w:tc>
        <w:tc>
          <w:tcPr>
            <w:tcW w:type="dxa" w:w="6768"/>
            <w:shd w:val="clear" w:color="auto" w:fill="FAFAF8"/>
          </w:tcPr>
          <w:p>
            <w:r>
              <w:rPr>
                <w:b w:val="0"/>
                <w:color w:val="444444"/>
                <w:sz w:val="18"/>
              </w:rPr>
              <w:t>Disable agent if: accuracy &lt;88% over 4-hr window, OR API error rate &gt;5%, OR &gt;3 misrouted high-severity claims/day.</w:t>
            </w:r>
          </w:p>
        </w:tc>
      </w:tr>
      <w:tr>
        <w:tc>
          <w:tcPr>
            <w:tcW w:type="dxa" w:w="2592"/>
            <w:shd w:val="clear" w:color="auto" w:fill="F5F5F5"/>
          </w:tcPr>
          <w:p>
            <w:r>
              <w:rPr>
                <w:b/>
                <w:color w:val="1A1A1A"/>
                <w:sz w:val="18"/>
              </w:rPr>
              <w:t>Retraining Cadence</w:t>
            </w:r>
          </w:p>
        </w:tc>
        <w:tc>
          <w:tcPr>
            <w:tcW w:type="dxa" w:w="6768"/>
            <w:shd w:val="clear" w:color="auto" w:fill="FAFAF8"/>
          </w:tcPr>
          <w:p>
            <w:r>
              <w:rPr>
                <w:b w:val="0"/>
                <w:color w:val="444444"/>
                <w:sz w:val="18"/>
              </w:rPr>
              <w:t>Quarterly review of training data. Retraining triggered if accuracy drops &gt;2% from baseline.</w:t>
            </w:r>
          </w:p>
        </w:tc>
      </w:tr>
      <w:tr>
        <w:tc>
          <w:tcPr>
            <w:tcW w:type="dxa" w:w="2592"/>
            <w:shd w:val="clear" w:color="auto" w:fill="F5F5F5"/>
          </w:tcPr>
          <w:p>
            <w:r>
              <w:rPr>
                <w:b/>
                <w:color w:val="1A1A1A"/>
                <w:sz w:val="18"/>
              </w:rPr>
              <w:t>Audit Cadence</w:t>
            </w:r>
          </w:p>
        </w:tc>
        <w:tc>
          <w:tcPr>
            <w:tcW w:type="dxa" w:w="6768"/>
            <w:shd w:val="clear" w:color="auto" w:fill="FAFAF8"/>
          </w:tcPr>
          <w:p>
            <w:r>
              <w:rPr>
                <w:b w:val="0"/>
                <w:color w:val="444444"/>
                <w:sz w:val="18"/>
              </w:rPr>
              <w:t>Monthly automated audit report. Quarterly manual review by Data Governance team.</w:t>
            </w:r>
          </w:p>
        </w:tc>
      </w:tr>
      <w:tr>
        <w:tc>
          <w:tcPr>
            <w:tcW w:type="dxa" w:w="2592"/>
            <w:shd w:val="clear" w:color="auto" w:fill="F5F5F5"/>
          </w:tcPr>
          <w:p>
            <w:r>
              <w:rPr>
                <w:b/>
                <w:color w:val="1A1A1A"/>
                <w:sz w:val="18"/>
              </w:rPr>
              <w:t>Sunset Criteria</w:t>
            </w:r>
          </w:p>
        </w:tc>
        <w:tc>
          <w:tcPr>
            <w:tcW w:type="dxa" w:w="6768"/>
            <w:shd w:val="clear" w:color="auto" w:fill="FAFAF8"/>
          </w:tcPr>
          <w:p>
            <w:r>
              <w:rPr>
                <w:b w:val="0"/>
                <w:color w:val="444444"/>
                <w:sz w:val="18"/>
              </w:rPr>
              <w:t>Agent decommissioned if: business process changes materially, OR accuracy cannot be maintained above 88%.</w:t>
            </w:r>
          </w:p>
        </w:tc>
      </w:tr>
    </w:tbl>
    <w:p>
      <w:pPr>
        <w:spacing w:before="400"/>
      </w:pPr>
      <w:r>
        <w:rPr>
          <w:color w:val="999999"/>
          <w:sz w:val="16"/>
        </w:rPr>
        <w:t>futurefrontiers.us  ·  Future Frontiers  ·  Exploring over the Horizon  ·  © 2026</w:t>
      </w:r>
    </w:p>
    <w:sectPr w:rsidR="00FC693F" w:rsidRPr="0006063C" w:rsidSect="00034616">
      <w:pgSz w:w="12240" w:h="15840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