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360"/>
      </w:tblGrid>
      <w:tr>
        <w:tc>
          <w:tcPr>
            <w:tcW w:type="dxa" w:w="9360"/>
            <w:shd w:val="clear" w:color="auto" w:fill="1A1A1A"/>
          </w:tcPr>
          <w:p>
            <w:pPr>
              <w:spacing w:before="200" w:after="80"/>
            </w:pPr>
            <w:r>
              <w:rPr>
                <w:b/>
                <w:color w:val="C0FF6B"/>
                <w:sz w:val="22"/>
              </w:rPr>
              <w:t>FF  FUTURE FRONTIERS</w:t>
            </w:r>
          </w:p>
          <w:p>
            <w:r>
              <w:rPr>
                <w:b/>
                <w:color w:val="FFFFFF"/>
                <w:sz w:val="40"/>
              </w:rPr>
              <w:t>AI Governance Charter — Sample</w:t>
            </w:r>
          </w:p>
          <w:p>
            <w:r>
              <w:rPr>
                <w:color w:val="AAAAAA"/>
                <w:sz w:val="20"/>
              </w:rPr>
              <w:t>AcmeCorp Insurance · 5,200 Employees · Effective May 2026</w:t>
            </w:r>
          </w:p>
          <w:p>
            <w:pPr>
              <w:spacing w:after="200"/>
            </w:pPr>
            <w:r>
              <w:rPr>
                <w:color w:val="666666"/>
                <w:sz w:val="16"/>
              </w:rPr>
              <w:t>Exploring over the Horizon  ·  futurefrontiers.us</w:t>
            </w:r>
          </w:p>
        </w:tc>
      </w:tr>
    </w:tbl>
    <w:p/>
    <w:tbl>
      <w:tblPr>
        <w:tblStyle w:val="TableGrid"/>
        <w:tblW w:type="auto" w:w="0"/>
        <w:tblLook w:firstColumn="1" w:firstRow="1" w:lastColumn="0" w:lastRow="0" w:noHBand="0" w:noVBand="1" w:val="04A0"/>
      </w:tblPr>
      <w:tblGrid>
        <w:gridCol w:w="9360"/>
      </w:tblGrid>
      <w:tr>
        <w:tc>
          <w:tcPr>
            <w:tcW w:type="dxa" w:w="9360"/>
            <w:shd w:val="clear" w:color="auto" w:fill="C0FF6B"/>
          </w:tcPr>
          <w:p>
            <w:pPr>
              <w:spacing w:before="80" w:after="80"/>
            </w:pPr>
            <w:r>
              <w:rPr>
                <w:b/>
                <w:color w:val="1A1A1A"/>
                <w:sz w:val="18"/>
              </w:rPr>
              <w:t xml:space="preserve">  SAMPLE FILLED GOVERNANCE CHARTER  ·  AcmeCorp Insurance  ·  May 2026</w:t>
            </w:r>
          </w:p>
        </w:tc>
      </w:tr>
    </w:tbl>
    <w:p/>
    <w:p>
      <w:pPr>
        <w:spacing w:before="40" w:after="80"/>
      </w:pPr>
      <w:r>
        <w:rPr>
          <w:i/>
          <w:color w:val="336633"/>
          <w:sz w:val="20"/>
        </w:rPr>
        <w:t>This sample shows a completed AI Governance Charter for AcmeCorp Insurance, a 5,200-employee P&amp;C insurer with an active AI program (3 agents in production, 5 in pilot). Use this as a benchmark for what a mature, operational charter looks like — not just aspirational policy.</w:t>
      </w:r>
    </w:p>
    <w:p>
      <w:pPr>
        <w:spacing w:before="280" w:after="80"/>
      </w:pPr>
      <w:r>
        <w:rPr>
          <w:b/>
          <w:color w:val="1A1A1A"/>
          <w:sz w:val="28"/>
        </w:rPr>
        <w:t>SECTION 1: CHARTER PURPOSE &amp; SCOPE</w:t>
      </w:r>
    </w:p>
    <w:p>
      <w:pPr>
        <w:spacing w:before="40" w:after="80"/>
      </w:pPr>
      <w:r>
        <w:rPr>
          <w:i w:val="0"/>
          <w:color w:val="1A1A1A"/>
          <w:sz w:val="20"/>
        </w:rPr>
        <w:t>PURPOSE: This charter establishes AcmeCorp Insurance's governance framework for the development, deployment, monitoring, and decommissioning of AI systems — including machine learning models, large language models, and autonomous AI agents. It applies to all AI systems operated by or on behalf of AcmeCorp, regardless of whether they are built internally, purchased from vendors, or accessed via API.</w:t>
      </w:r>
    </w:p>
    <w:p>
      <w:pPr>
        <w:spacing w:before="40" w:after="80"/>
      </w:pPr>
      <w:r>
        <w:rPr>
          <w:i w:val="0"/>
          <w:color w:val="444444"/>
          <w:sz w:val="20"/>
        </w:rPr>
        <w:t>SCOPE: All business units. All AI systems processing AcmeCorp data or making decisions that affect customers, employees, or financial outcomes. Effective: May 19, 2026. Review cycle: annual (next review: May 2027).</w:t>
      </w:r>
    </w:p>
    <w:p/>
    <w:p>
      <w:pPr>
        <w:spacing w:before="280" w:after="80"/>
      </w:pPr>
      <w:r>
        <w:rPr>
          <w:b/>
          <w:color w:val="1A1A1A"/>
          <w:sz w:val="28"/>
        </w:rPr>
        <w:t>SECTION 2: GOVERNANCE STRUCTURE &amp; ROLES</w:t>
      </w:r>
    </w:p>
    <w:tbl>
      <w:tblPr>
        <w:tblStyle w:val="TableGrid"/>
        <w:tblW w:type="auto" w:w="0"/>
        <w:tblLook w:firstColumn="1" w:firstRow="1" w:lastColumn="0" w:lastRow="0" w:noHBand="0" w:noVBand="1" w:val="04A0"/>
      </w:tblPr>
      <w:tblGrid>
        <w:gridCol w:w="2304"/>
        <w:gridCol w:w="3456"/>
        <w:gridCol w:w="3744"/>
      </w:tblGrid>
      <w:tr>
        <w:tc>
          <w:tcPr>
            <w:tcW w:type="dxa" w:w="3120"/>
            <w:shd w:val="clear" w:color="auto" w:fill="1A1A1A"/>
          </w:tcPr>
          <w:p>
            <w:r>
              <w:rPr>
                <w:b/>
                <w:color w:val="FFFFFF"/>
                <w:sz w:val="18"/>
              </w:rPr>
              <w:t>ROLE</w:t>
            </w:r>
          </w:p>
        </w:tc>
        <w:tc>
          <w:tcPr>
            <w:tcW w:type="dxa" w:w="3120"/>
            <w:shd w:val="clear" w:color="auto" w:fill="1A1A1A"/>
          </w:tcPr>
          <w:p>
            <w:r>
              <w:rPr>
                <w:b/>
                <w:color w:val="FFFFFF"/>
                <w:sz w:val="18"/>
              </w:rPr>
              <w:t>MEMBERS</w:t>
            </w:r>
          </w:p>
        </w:tc>
        <w:tc>
          <w:tcPr>
            <w:tcW w:type="dxa" w:w="3120"/>
            <w:shd w:val="clear" w:color="auto" w:fill="1A1A1A"/>
          </w:tcPr>
          <w:p>
            <w:r>
              <w:rPr>
                <w:b/>
                <w:color w:val="FFFFFF"/>
                <w:sz w:val="18"/>
              </w:rPr>
              <w:t>CADENCE &amp; RESPONSIBILITIES</w:t>
            </w:r>
          </w:p>
        </w:tc>
      </w:tr>
      <w:tr>
        <w:tc>
          <w:tcPr>
            <w:tcW w:type="dxa" w:w="2304"/>
            <w:shd w:val="clear" w:color="auto" w:fill="F0FFD8"/>
          </w:tcPr>
          <w:p>
            <w:r>
              <w:rPr>
                <w:b/>
                <w:color w:val="1A1A1A"/>
                <w:sz w:val="18"/>
              </w:rPr>
              <w:t>AI Steering Committee</w:t>
            </w:r>
          </w:p>
        </w:tc>
        <w:tc>
          <w:tcPr>
            <w:tcW w:type="dxa" w:w="3456"/>
            <w:shd w:val="clear" w:color="auto" w:fill="FAFAF8"/>
          </w:tcPr>
          <w:p>
            <w:r>
              <w:rPr>
                <w:b w:val="0"/>
                <w:color w:val="444444"/>
                <w:sz w:val="18"/>
              </w:rPr>
              <w:t>David Park (CRO, Chair), Maria Chen (VP Ops), Rachel Torres (GC), CFO, CTO</w:t>
            </w:r>
          </w:p>
        </w:tc>
        <w:tc>
          <w:tcPr>
            <w:tcW w:type="dxa" w:w="3744"/>
            <w:shd w:val="clear" w:color="auto" w:fill="FAFAF8"/>
          </w:tcPr>
          <w:p>
            <w:r>
              <w:rPr>
                <w:b w:val="0"/>
                <w:color w:val="444444"/>
                <w:sz w:val="18"/>
              </w:rPr>
              <w:t>Quarterly. Approves high-risk AI deployments, reviews AI risk register, sets AI investment priorities.</w:t>
            </w:r>
          </w:p>
        </w:tc>
      </w:tr>
      <w:tr>
        <w:tc>
          <w:tcPr>
            <w:tcW w:type="dxa" w:w="2304"/>
            <w:shd w:val="clear" w:color="auto" w:fill="F0FFD8"/>
          </w:tcPr>
          <w:p>
            <w:r>
              <w:rPr>
                <w:b/>
                <w:color w:val="1A1A1A"/>
                <w:sz w:val="18"/>
              </w:rPr>
              <w:t>AI Program Office</w:t>
            </w:r>
          </w:p>
        </w:tc>
        <w:tc>
          <w:tcPr>
            <w:tcW w:type="dxa" w:w="3456"/>
            <w:shd w:val="clear" w:color="auto" w:fill="FAFAF8"/>
          </w:tcPr>
          <w:p>
            <w:r>
              <w:rPr>
                <w:b w:val="0"/>
                <w:color w:val="444444"/>
                <w:sz w:val="18"/>
              </w:rPr>
              <w:t>Sarah Okonkwo (AI Engineering Lead), James Liu (ML Lead), Priya Sharma (Data Gov)</w:t>
            </w:r>
          </w:p>
        </w:tc>
        <w:tc>
          <w:tcPr>
            <w:tcW w:type="dxa" w:w="3744"/>
            <w:shd w:val="clear" w:color="auto" w:fill="FAFAF8"/>
          </w:tcPr>
          <w:p>
            <w:r>
              <w:rPr>
                <w:b w:val="0"/>
                <w:color w:val="444444"/>
                <w:sz w:val="18"/>
              </w:rPr>
              <w:t>Bi-weekly. Manages AI project portfolio, maintains standards, conducts technical reviews.</w:t>
            </w:r>
          </w:p>
        </w:tc>
      </w:tr>
      <w:tr>
        <w:tc>
          <w:tcPr>
            <w:tcW w:type="dxa" w:w="2304"/>
            <w:shd w:val="clear" w:color="auto" w:fill="F0FFD8"/>
          </w:tcPr>
          <w:p>
            <w:r>
              <w:rPr>
                <w:b/>
                <w:color w:val="1A1A1A"/>
                <w:sz w:val="18"/>
              </w:rPr>
              <w:t>AI Incident Owner</w:t>
            </w:r>
          </w:p>
        </w:tc>
        <w:tc>
          <w:tcPr>
            <w:tcW w:type="dxa" w:w="3456"/>
            <w:shd w:val="clear" w:color="auto" w:fill="FAFAF8"/>
          </w:tcPr>
          <w:p>
            <w:r>
              <w:rPr>
                <w:b w:val="0"/>
                <w:color w:val="444444"/>
                <w:sz w:val="18"/>
              </w:rPr>
              <w:t>David Park, CRO</w:t>
            </w:r>
          </w:p>
        </w:tc>
        <w:tc>
          <w:tcPr>
            <w:tcW w:type="dxa" w:w="3744"/>
            <w:shd w:val="clear" w:color="auto" w:fill="FAFAF8"/>
          </w:tcPr>
          <w:p>
            <w:r>
              <w:rPr>
                <w:b w:val="0"/>
                <w:color w:val="444444"/>
                <w:sz w:val="18"/>
              </w:rPr>
              <w:t>On-call. Owns all AI incidents. Authority to suspend any AI system immediately.</w:t>
            </w:r>
          </w:p>
        </w:tc>
      </w:tr>
      <w:tr>
        <w:tc>
          <w:tcPr>
            <w:tcW w:type="dxa" w:w="2304"/>
            <w:shd w:val="clear" w:color="auto" w:fill="F0FFD8"/>
          </w:tcPr>
          <w:p>
            <w:r>
              <w:rPr>
                <w:b/>
                <w:color w:val="1A1A1A"/>
                <w:sz w:val="18"/>
              </w:rPr>
              <w:t>Business Unit AI Champions</w:t>
            </w:r>
          </w:p>
        </w:tc>
        <w:tc>
          <w:tcPr>
            <w:tcW w:type="dxa" w:w="3456"/>
            <w:shd w:val="clear" w:color="auto" w:fill="FAFAF8"/>
          </w:tcPr>
          <w:p>
            <w:r>
              <w:rPr>
                <w:b w:val="0"/>
                <w:color w:val="444444"/>
                <w:sz w:val="18"/>
              </w:rPr>
              <w:t>One per BU (Claims, Underwriting, Finance, HR, IT)</w:t>
            </w:r>
          </w:p>
        </w:tc>
        <w:tc>
          <w:tcPr>
            <w:tcW w:type="dxa" w:w="3744"/>
            <w:shd w:val="clear" w:color="auto" w:fill="FAFAF8"/>
          </w:tcPr>
          <w:p>
            <w:r>
              <w:rPr>
                <w:b w:val="0"/>
                <w:color w:val="444444"/>
                <w:sz w:val="18"/>
              </w:rPr>
              <w:t>Monthly. Identify AI use cases, coordinate with AI Program Office, communicate policy to teams.</w:t>
            </w:r>
          </w:p>
        </w:tc>
      </w:tr>
      <w:tr>
        <w:tc>
          <w:tcPr>
            <w:tcW w:type="dxa" w:w="2304"/>
            <w:shd w:val="clear" w:color="auto" w:fill="F0FFD8"/>
          </w:tcPr>
          <w:p>
            <w:r>
              <w:rPr>
                <w:b/>
                <w:color w:val="1A1A1A"/>
                <w:sz w:val="18"/>
              </w:rPr>
              <w:t>Data Governance Lead</w:t>
            </w:r>
          </w:p>
        </w:tc>
        <w:tc>
          <w:tcPr>
            <w:tcW w:type="dxa" w:w="3456"/>
            <w:shd w:val="clear" w:color="auto" w:fill="FAFAF8"/>
          </w:tcPr>
          <w:p>
            <w:r>
              <w:rPr>
                <w:b w:val="0"/>
                <w:color w:val="444444"/>
                <w:sz w:val="18"/>
              </w:rPr>
              <w:t>Priya Sharma</w:t>
            </w:r>
          </w:p>
        </w:tc>
        <w:tc>
          <w:tcPr>
            <w:tcW w:type="dxa" w:w="3744"/>
            <w:shd w:val="clear" w:color="auto" w:fill="FAFAF8"/>
          </w:tcPr>
          <w:p>
            <w:r>
              <w:rPr>
                <w:b w:val="0"/>
                <w:color w:val="444444"/>
                <w:sz w:val="18"/>
              </w:rPr>
              <w:t>Ongoing. Owns data quality standards, lineage, and access controls for all AI systems.</w:t>
            </w:r>
          </w:p>
        </w:tc>
      </w:tr>
      <w:tr>
        <w:tc>
          <w:tcPr>
            <w:tcW w:type="dxa" w:w="2304"/>
            <w:shd w:val="clear" w:color="auto" w:fill="F0FFD8"/>
          </w:tcPr>
          <w:p>
            <w:r>
              <w:rPr>
                <w:b/>
                <w:color w:val="1A1A1A"/>
                <w:sz w:val="18"/>
              </w:rPr>
              <w:t>External AI Auditor</w:t>
            </w:r>
          </w:p>
        </w:tc>
        <w:tc>
          <w:tcPr>
            <w:tcW w:type="dxa" w:w="3456"/>
            <w:shd w:val="clear" w:color="auto" w:fill="FAFAF8"/>
          </w:tcPr>
          <w:p>
            <w:r>
              <w:rPr>
                <w:b w:val="0"/>
                <w:color w:val="444444"/>
                <w:sz w:val="18"/>
              </w:rPr>
              <w:t>Deloitte AI Risk Practice (contracted)</w:t>
            </w:r>
          </w:p>
        </w:tc>
        <w:tc>
          <w:tcPr>
            <w:tcW w:type="dxa" w:w="3744"/>
            <w:shd w:val="clear" w:color="auto" w:fill="FAFAF8"/>
          </w:tcPr>
          <w:p>
            <w:r>
              <w:rPr>
                <w:b w:val="0"/>
                <w:color w:val="444444"/>
                <w:sz w:val="18"/>
              </w:rPr>
              <w:t>Annual. Independent audit of AI governance practices and high-risk system outputs.</w:t>
            </w:r>
          </w:p>
        </w:tc>
      </w:tr>
    </w:tbl>
    <w:p/>
    <w:p>
      <w:pPr>
        <w:spacing w:before="280" w:after="80"/>
      </w:pPr>
      <w:r>
        <w:rPr>
          <w:b/>
          <w:color w:val="1A1A1A"/>
          <w:sz w:val="28"/>
        </w:rPr>
        <w:t>SECTION 3: AI RISK CLASSIFICATION &amp; APPROVAL THRESHOLDS</w:t>
      </w:r>
    </w:p>
    <w:p>
      <w:pPr>
        <w:spacing w:before="40" w:after="80"/>
      </w:pPr>
      <w:r>
        <w:rPr>
          <w:i w:val="0"/>
          <w:color w:val="444444"/>
          <w:sz w:val="20"/>
        </w:rPr>
        <w:t>All AI systems are classified into one of three risk tiers before deployment. Tier determines the approval path, monitoring intensity, and audit frequency.</w:t>
      </w:r>
    </w:p>
    <w:tbl>
      <w:tblPr>
        <w:tblStyle w:val="TableGrid"/>
        <w:tblW w:type="auto" w:w="0"/>
        <w:tblLook w:firstColumn="1" w:firstRow="1" w:lastColumn="0" w:lastRow="0" w:noHBand="0" w:noVBand="1" w:val="04A0"/>
      </w:tblPr>
      <w:tblGrid>
        <w:gridCol w:w="9360"/>
      </w:tblGrid>
      <w:tr>
        <w:tc>
          <w:tcPr>
            <w:tcW w:type="dxa" w:w="9360"/>
            <w:shd w:val="clear" w:color="auto" w:fill="1E3A5F"/>
          </w:tcPr>
          <w:p>
            <w:pPr>
              <w:spacing w:before="80" w:after="40"/>
            </w:pPr>
            <w:r>
              <w:rPr>
                <w:b/>
                <w:color w:val="FFFFFF"/>
                <w:sz w:val="22"/>
              </w:rPr>
              <w:t>TIER 1 — HIGH RISK</w:t>
            </w:r>
          </w:p>
          <w:p>
            <w:r>
              <w:rPr>
                <w:b/>
                <w:color w:val="FFFFFF"/>
                <w:sz w:val="17"/>
              </w:rPr>
              <w:t xml:space="preserve">  Criteria:  </w:t>
            </w:r>
            <w:r>
              <w:rPr>
                <w:color w:val="FFFFFF"/>
                <w:sz w:val="17"/>
              </w:rPr>
              <w:t>Customer-facing decisions. Financial impact &gt;$100K/yr. Regulatory exposure. Autonomous actions without human review.</w:t>
            </w:r>
          </w:p>
          <w:p>
            <w:r>
              <w:rPr>
                <w:b/>
                <w:color w:val="FFFFFF"/>
                <w:sz w:val="17"/>
              </w:rPr>
              <w:t xml:space="preserve">  Approval path:  </w:t>
            </w:r>
            <w:r>
              <w:rPr>
                <w:color w:val="FFFFFF"/>
                <w:sz w:val="17"/>
              </w:rPr>
              <w:t>AI Steering Committee approval. External legal review. Quarterly audit. Real-time monitoring.</w:t>
            </w:r>
          </w:p>
          <w:p>
            <w:r>
              <w:rPr>
                <w:b/>
                <w:color w:val="FFFFFF"/>
                <w:sz w:val="17"/>
              </w:rPr>
              <w:t xml:space="preserve">  AcmeCorp examples:  </w:t>
            </w:r>
            <w:r>
              <w:rPr>
                <w:color w:val="FFFFFF"/>
                <w:sz w:val="17"/>
              </w:rPr>
              <w:t>Coverage determination engine, fraud scoring model, pricing AI</w:t>
            </w:r>
          </w:p>
          <w:p>
            <w:pPr>
              <w:spacing w:after="80"/>
            </w:pPr>
          </w:p>
        </w:tc>
      </w:tr>
    </w:tbl>
    <w:tbl>
      <w:tblPr>
        <w:tblStyle w:val="TableGrid"/>
        <w:tblW w:type="auto" w:w="0"/>
        <w:tblLook w:firstColumn="1" w:firstRow="1" w:lastColumn="0" w:lastRow="0" w:noHBand="0" w:noVBand="1" w:val="04A0"/>
      </w:tblPr>
      <w:tblGrid>
        <w:gridCol w:w="9360"/>
      </w:tblGrid>
      <w:tr>
        <w:tc>
          <w:tcPr>
            <w:tcW w:type="dxa" w:w="9360"/>
            <w:shd w:val="clear" w:color="auto" w:fill="F57F17"/>
          </w:tcPr>
          <w:p>
            <w:pPr>
              <w:spacing w:before="80" w:after="40"/>
            </w:pPr>
            <w:r>
              <w:rPr>
                <w:b/>
                <w:color w:val="FFFFFF"/>
                <w:sz w:val="22"/>
              </w:rPr>
              <w:t>TIER 2 — MEDIUM RISK</w:t>
            </w:r>
          </w:p>
          <w:p>
            <w:r>
              <w:rPr>
                <w:b/>
                <w:color w:val="FFFFFF"/>
                <w:sz w:val="17"/>
              </w:rPr>
              <w:t xml:space="preserve">  Criteria:  </w:t>
            </w:r>
            <w:r>
              <w:rPr>
                <w:color w:val="FFFFFF"/>
                <w:sz w:val="17"/>
              </w:rPr>
              <w:t>Internal process automation. Financial impact $10K–$100K/yr. Human review of outputs before action.</w:t>
            </w:r>
          </w:p>
          <w:p>
            <w:r>
              <w:rPr>
                <w:b/>
                <w:color w:val="FFFFFF"/>
                <w:sz w:val="17"/>
              </w:rPr>
              <w:t xml:space="preserve">  Approval path:  </w:t>
            </w:r>
            <w:r>
              <w:rPr>
                <w:color w:val="FFFFFF"/>
                <w:sz w:val="17"/>
              </w:rPr>
              <w:t>AI Program Office approval. CRO notification. Monthly audit. Daily monitoring.</w:t>
            </w:r>
          </w:p>
          <w:p>
            <w:r>
              <w:rPr>
                <w:b/>
                <w:color w:val="FFFFFF"/>
                <w:sz w:val="17"/>
              </w:rPr>
              <w:t xml:space="preserve">  AcmeCorp examples:  </w:t>
            </w:r>
            <w:r>
              <w:rPr>
                <w:color w:val="FFFFFF"/>
                <w:sz w:val="17"/>
              </w:rPr>
              <w:t>Claims-Triage Agent (CTA-001), Document extraction model, Adjuster workload optimizer</w:t>
            </w:r>
          </w:p>
          <w:p>
            <w:pPr>
              <w:spacing w:after="80"/>
            </w:pPr>
          </w:p>
        </w:tc>
      </w:tr>
    </w:tbl>
    <w:tbl>
      <w:tblPr>
        <w:tblStyle w:val="TableGrid"/>
        <w:tblW w:type="auto" w:w="0"/>
        <w:tblLook w:firstColumn="1" w:firstRow="1" w:lastColumn="0" w:lastRow="0" w:noHBand="0" w:noVBand="1" w:val="04A0"/>
      </w:tblPr>
      <w:tblGrid>
        <w:gridCol w:w="9360"/>
      </w:tblGrid>
      <w:tr>
        <w:tc>
          <w:tcPr>
            <w:tcW w:type="dxa" w:w="9360"/>
            <w:shd w:val="clear" w:color="auto" w:fill="2E7D32"/>
          </w:tcPr>
          <w:p>
            <w:pPr>
              <w:spacing w:before="80" w:after="40"/>
            </w:pPr>
            <w:r>
              <w:rPr>
                <w:b/>
                <w:color w:val="FFFFFF"/>
                <w:sz w:val="22"/>
              </w:rPr>
              <w:t>TIER 3 — LOW RISK</w:t>
            </w:r>
          </w:p>
          <w:p>
            <w:r>
              <w:rPr>
                <w:b/>
                <w:color w:val="FFFFFF"/>
                <w:sz w:val="17"/>
              </w:rPr>
              <w:t xml:space="preserve">  Criteria:  </w:t>
            </w:r>
            <w:r>
              <w:rPr>
                <w:color w:val="FFFFFF"/>
                <w:sz w:val="17"/>
              </w:rPr>
              <w:t>Internal productivity tools. No customer impact. Human always in the loop. Financial impact &lt;$10K/yr.</w:t>
            </w:r>
          </w:p>
          <w:p>
            <w:r>
              <w:rPr>
                <w:b/>
                <w:color w:val="FFFFFF"/>
                <w:sz w:val="17"/>
              </w:rPr>
              <w:t xml:space="preserve">  Approval path:  </w:t>
            </w:r>
            <w:r>
              <w:rPr>
                <w:color w:val="FFFFFF"/>
                <w:sz w:val="17"/>
              </w:rPr>
              <w:t>Business Unit AI Champion approval. Quarterly review. Weekly monitoring.</w:t>
            </w:r>
          </w:p>
          <w:p>
            <w:r>
              <w:rPr>
                <w:b/>
                <w:color w:val="FFFFFF"/>
                <w:sz w:val="17"/>
              </w:rPr>
              <w:t xml:space="preserve">  AcmeCorp examples:  </w:t>
            </w:r>
            <w:r>
              <w:rPr>
                <w:color w:val="FFFFFF"/>
                <w:sz w:val="17"/>
              </w:rPr>
              <w:t>Meeting summarizer, Internal search assistant, Code review assistant</w:t>
            </w:r>
          </w:p>
          <w:p>
            <w:pPr>
              <w:spacing w:after="80"/>
            </w:pPr>
          </w:p>
        </w:tc>
      </w:tr>
    </w:tbl>
    <w:p/>
    <w:p>
      <w:pPr>
        <w:spacing w:before="280" w:after="80"/>
      </w:pPr>
      <w:r>
        <w:rPr>
          <w:b/>
          <w:color w:val="1A1A1A"/>
          <w:sz w:val="28"/>
        </w:rPr>
        <w:t>SECTION 4: AI DEPLOYMENT LIFECYCLE GATES</w:t>
      </w:r>
    </w:p>
    <w:tbl>
      <w:tblPr>
        <w:tblStyle w:val="TableGrid"/>
        <w:tblW w:type="auto" w:w="0"/>
        <w:tblLook w:firstColumn="1" w:firstRow="1" w:lastColumn="0" w:lastRow="0" w:noHBand="0" w:noVBand="1" w:val="04A0"/>
      </w:tblPr>
      <w:tblGrid>
        <w:gridCol w:w="2592"/>
        <w:gridCol w:w="6768"/>
      </w:tblGrid>
      <w:tr>
        <w:tc>
          <w:tcPr>
            <w:tcW w:type="dxa" w:w="4680"/>
            <w:shd w:val="clear" w:color="auto" w:fill="1A1A1A"/>
          </w:tcPr>
          <w:p>
            <w:r>
              <w:rPr>
                <w:b/>
                <w:color w:val="FFFFFF"/>
                <w:sz w:val="18"/>
              </w:rPr>
              <w:t>LIFECYCLE GATE</w:t>
            </w:r>
          </w:p>
        </w:tc>
        <w:tc>
          <w:tcPr>
            <w:tcW w:type="dxa" w:w="4680"/>
            <w:shd w:val="clear" w:color="auto" w:fill="1A1A1A"/>
          </w:tcPr>
          <w:p>
            <w:r>
              <w:rPr>
                <w:b/>
                <w:color w:val="FFFFFF"/>
                <w:sz w:val="18"/>
              </w:rPr>
              <w:t>REQUIREMENTS</w:t>
            </w:r>
          </w:p>
        </w:tc>
      </w:tr>
      <w:tr>
        <w:tc>
          <w:tcPr>
            <w:tcW w:type="dxa" w:w="2592"/>
            <w:shd w:val="clear" w:color="auto" w:fill="F0FFD8"/>
          </w:tcPr>
          <w:p>
            <w:r>
              <w:rPr>
                <w:b/>
                <w:color w:val="1A1A1A"/>
                <w:sz w:val="18"/>
              </w:rPr>
              <w:t>GATE 1: PROPOSAL</w:t>
            </w:r>
          </w:p>
        </w:tc>
        <w:tc>
          <w:tcPr>
            <w:tcW w:type="dxa" w:w="6768"/>
            <w:shd w:val="clear" w:color="auto" w:fill="FAFAF8"/>
          </w:tcPr>
          <w:p>
            <w:r>
              <w:rPr>
                <w:b w:val="0"/>
                <w:color w:val="444444"/>
                <w:sz w:val="18"/>
              </w:rPr>
              <w:t>Business case submitted to AI Program Office. Use case, data sources, risk tier, and success metrics defined.</w:t>
            </w:r>
          </w:p>
        </w:tc>
      </w:tr>
      <w:tr>
        <w:tc>
          <w:tcPr>
            <w:tcW w:type="dxa" w:w="2592"/>
            <w:shd w:val="clear" w:color="auto" w:fill="F0FFD8"/>
          </w:tcPr>
          <w:p>
            <w:r>
              <w:rPr>
                <w:b/>
                <w:color w:val="1A1A1A"/>
                <w:sz w:val="18"/>
              </w:rPr>
              <w:t>GATE 2: DATA READINESS</w:t>
            </w:r>
          </w:p>
        </w:tc>
        <w:tc>
          <w:tcPr>
            <w:tcW w:type="dxa" w:w="6768"/>
            <w:shd w:val="clear" w:color="auto" w:fill="FAFAF8"/>
          </w:tcPr>
          <w:p>
            <w:r>
              <w:rPr>
                <w:b w:val="0"/>
                <w:color w:val="444444"/>
                <w:sz w:val="18"/>
              </w:rPr>
              <w:t>Data Readiness Audit (Resource 21) completed. Score ≥75% required to proceed.</w:t>
            </w:r>
          </w:p>
        </w:tc>
      </w:tr>
      <w:tr>
        <w:tc>
          <w:tcPr>
            <w:tcW w:type="dxa" w:w="2592"/>
            <w:shd w:val="clear" w:color="auto" w:fill="F0FFD8"/>
          </w:tcPr>
          <w:p>
            <w:r>
              <w:rPr>
                <w:b/>
                <w:color w:val="1A1A1A"/>
                <w:sz w:val="18"/>
              </w:rPr>
              <w:t>GATE 3: PILOT APPROVAL</w:t>
            </w:r>
          </w:p>
        </w:tc>
        <w:tc>
          <w:tcPr>
            <w:tcW w:type="dxa" w:w="6768"/>
            <w:shd w:val="clear" w:color="auto" w:fill="FAFAF8"/>
          </w:tcPr>
          <w:p>
            <w:r>
              <w:rPr>
                <w:b w:val="0"/>
                <w:color w:val="444444"/>
                <w:sz w:val="18"/>
              </w:rPr>
              <w:t>Pilot plan approved by AI Program Office (Tier 2) or AI Steering Committee (Tier 1).</w:t>
            </w:r>
          </w:p>
        </w:tc>
      </w:tr>
      <w:tr>
        <w:tc>
          <w:tcPr>
            <w:tcW w:type="dxa" w:w="2592"/>
            <w:shd w:val="clear" w:color="auto" w:fill="F0FFD8"/>
          </w:tcPr>
          <w:p>
            <w:r>
              <w:rPr>
                <w:b/>
                <w:color w:val="1A1A1A"/>
                <w:sz w:val="18"/>
              </w:rPr>
              <w:t>GATE 4: PILOT REVIEW</w:t>
            </w:r>
          </w:p>
        </w:tc>
        <w:tc>
          <w:tcPr>
            <w:tcW w:type="dxa" w:w="6768"/>
            <w:shd w:val="clear" w:color="auto" w:fill="FAFAF8"/>
          </w:tcPr>
          <w:p>
            <w:r>
              <w:rPr>
                <w:b w:val="0"/>
                <w:color w:val="444444"/>
                <w:sz w:val="18"/>
              </w:rPr>
              <w:t>Pilot-to-Production Rubric (Resource 10) completed. All 6 criteria GREEN (or conditional GO).</w:t>
            </w:r>
          </w:p>
        </w:tc>
      </w:tr>
      <w:tr>
        <w:tc>
          <w:tcPr>
            <w:tcW w:type="dxa" w:w="2592"/>
            <w:shd w:val="clear" w:color="auto" w:fill="F0FFD8"/>
          </w:tcPr>
          <w:p>
            <w:r>
              <w:rPr>
                <w:b/>
                <w:color w:val="1A1A1A"/>
                <w:sz w:val="18"/>
              </w:rPr>
              <w:t>GATE 5: PRODUCTION LAUNCH</w:t>
            </w:r>
          </w:p>
        </w:tc>
        <w:tc>
          <w:tcPr>
            <w:tcW w:type="dxa" w:w="6768"/>
            <w:shd w:val="clear" w:color="auto" w:fill="FAFAF8"/>
          </w:tcPr>
          <w:p>
            <w:r>
              <w:rPr>
                <w:b w:val="0"/>
                <w:color w:val="444444"/>
                <w:sz w:val="18"/>
              </w:rPr>
              <w:t>Launch authorized by AI Incident Owner. Monitoring dashboard live. Off-ramp tested.</w:t>
            </w:r>
          </w:p>
        </w:tc>
      </w:tr>
      <w:tr>
        <w:tc>
          <w:tcPr>
            <w:tcW w:type="dxa" w:w="2592"/>
            <w:shd w:val="clear" w:color="auto" w:fill="F0FFD8"/>
          </w:tcPr>
          <w:p>
            <w:r>
              <w:rPr>
                <w:b/>
                <w:color w:val="1A1A1A"/>
                <w:sz w:val="18"/>
              </w:rPr>
              <w:t>GATE 6: QUARTERLY REVIEW</w:t>
            </w:r>
          </w:p>
        </w:tc>
        <w:tc>
          <w:tcPr>
            <w:tcW w:type="dxa" w:w="6768"/>
            <w:shd w:val="clear" w:color="auto" w:fill="FAFAF8"/>
          </w:tcPr>
          <w:p>
            <w:r>
              <w:rPr>
                <w:b w:val="0"/>
                <w:color w:val="444444"/>
                <w:sz w:val="18"/>
              </w:rPr>
              <w:t>Performance vs. KPIs reviewed. Risk register updated. Continued operation authorized or remediation required.</w:t>
            </w:r>
          </w:p>
        </w:tc>
      </w:tr>
      <w:tr>
        <w:tc>
          <w:tcPr>
            <w:tcW w:type="dxa" w:w="2592"/>
            <w:shd w:val="clear" w:color="auto" w:fill="F0FFD8"/>
          </w:tcPr>
          <w:p>
            <w:r>
              <w:rPr>
                <w:b/>
                <w:color w:val="1A1A1A"/>
                <w:sz w:val="18"/>
              </w:rPr>
              <w:t>GATE 7: SUNSET</w:t>
            </w:r>
          </w:p>
        </w:tc>
        <w:tc>
          <w:tcPr>
            <w:tcW w:type="dxa" w:w="6768"/>
            <w:shd w:val="clear" w:color="auto" w:fill="FAFAF8"/>
          </w:tcPr>
          <w:p>
            <w:r>
              <w:rPr>
                <w:b w:val="0"/>
                <w:color w:val="444444"/>
                <w:sz w:val="18"/>
              </w:rPr>
              <w:t>Decommission plan executed. Data retention/deletion per policy. Post-mortem documented.</w:t>
            </w:r>
          </w:p>
        </w:tc>
      </w:tr>
    </w:tbl>
    <w:p/>
    <w:p>
      <w:pPr>
        <w:spacing w:before="280" w:after="80"/>
      </w:pPr>
      <w:r>
        <w:rPr>
          <w:b/>
          <w:color w:val="1A1A1A"/>
          <w:sz w:val="28"/>
        </w:rPr>
        <w:t>SECTION 5: PROHIBITED USES OF AI AT ACMECORP</w:t>
      </w:r>
    </w:p>
    <w:p>
      <w:pPr>
        <w:pStyle w:val="ListBullet"/>
        <w:spacing w:before="40" w:after="40"/>
      </w:pPr>
      <w:r>
        <w:rPr>
          <w:color w:val="C62828"/>
          <w:sz w:val="19"/>
        </w:rPr>
        <w:t>Autonomous coverage denial or claim rejection without human review and documented rationale.</w:t>
      </w:r>
    </w:p>
    <w:p>
      <w:pPr>
        <w:pStyle w:val="ListBullet"/>
        <w:spacing w:before="40" w:after="40"/>
      </w:pPr>
      <w:r>
        <w:rPr>
          <w:color w:val="C62828"/>
          <w:sz w:val="19"/>
        </w:rPr>
        <w:t>Processing of biometric data (facial recognition, voice ID) without explicit regulatory approval and customer consent.</w:t>
      </w:r>
    </w:p>
    <w:p>
      <w:pPr>
        <w:pStyle w:val="ListBullet"/>
        <w:spacing w:before="40" w:after="40"/>
      </w:pPr>
      <w:r>
        <w:rPr>
          <w:color w:val="C62828"/>
          <w:sz w:val="19"/>
        </w:rPr>
        <w:t>Use of AI to monitor employee communications, keystrokes, or physical location without HR and Legal sign-off.</w:t>
      </w:r>
    </w:p>
    <w:p>
      <w:pPr>
        <w:pStyle w:val="ListBullet"/>
        <w:spacing w:before="40" w:after="40"/>
      </w:pPr>
      <w:r>
        <w:rPr>
          <w:color w:val="C62828"/>
          <w:sz w:val="19"/>
        </w:rPr>
        <w:t>Deployment of AI systems that cannot produce an audit trail of their decisions.</w:t>
      </w:r>
    </w:p>
    <w:p>
      <w:pPr>
        <w:pStyle w:val="ListBullet"/>
        <w:spacing w:before="40" w:after="40"/>
      </w:pPr>
      <w:r>
        <w:rPr>
          <w:color w:val="C62828"/>
          <w:sz w:val="19"/>
        </w:rPr>
        <w:t>Use of training data that includes customer PII without a documented data processing agreement.</w:t>
      </w:r>
    </w:p>
    <w:p>
      <w:pPr>
        <w:pStyle w:val="ListBullet"/>
        <w:spacing w:before="40" w:after="40"/>
      </w:pPr>
      <w:r>
        <w:rPr>
          <w:color w:val="C62828"/>
          <w:sz w:val="19"/>
        </w:rPr>
        <w:t>AI-generated customer communications that do not disclose AI involvement where required by law.</w:t>
      </w:r>
    </w:p>
    <w:p>
      <w:pPr>
        <w:pStyle w:val="ListBullet"/>
        <w:spacing w:before="40" w:after="40"/>
      </w:pPr>
      <w:r>
        <w:rPr>
          <w:color w:val="C62828"/>
          <w:sz w:val="19"/>
        </w:rPr>
        <w:t>Use of AI models from vendors who have not completed AcmeCorp's vendor security assessment.</w:t>
      </w:r>
    </w:p>
    <w:p/>
    <w:p>
      <w:pPr>
        <w:spacing w:before="280" w:after="80"/>
      </w:pPr>
      <w:r>
        <w:rPr>
          <w:b/>
          <w:color w:val="1A1A1A"/>
          <w:sz w:val="28"/>
        </w:rPr>
        <w:t>SECTION 6: AI INCIDENT RESPONSE</w:t>
      </w:r>
    </w:p>
    <w:p>
      <w:pPr>
        <w:spacing w:before="40" w:after="80"/>
      </w:pPr>
      <w:r>
        <w:rPr>
          <w:i w:val="0"/>
          <w:color w:val="444444"/>
          <w:sz w:val="20"/>
        </w:rPr>
        <w:t>All AI incidents are classified using the following severity levels and follow the AcmeCorp AI Incident Response Playbook (Resource 13). The AI Incident Owner (David Park, CRO) must be notified of all P1 and P2 incidents.</w:t>
      </w:r>
    </w:p>
    <w:tbl>
      <w:tblPr>
        <w:tblStyle w:val="TableGrid"/>
        <w:tblW w:type="auto" w:w="0"/>
        <w:tblLook w:firstColumn="1" w:firstRow="1" w:lastColumn="0" w:lastRow="0" w:noHBand="0" w:noVBand="1" w:val="04A0"/>
      </w:tblPr>
      <w:tblGrid>
        <w:gridCol w:w="2160"/>
        <w:gridCol w:w="7200"/>
      </w:tblGrid>
      <w:tr>
        <w:tc>
          <w:tcPr>
            <w:tcW w:type="dxa" w:w="4680"/>
            <w:shd w:val="clear" w:color="auto" w:fill="1A1A1A"/>
          </w:tcPr>
          <w:p>
            <w:r>
              <w:rPr>
                <w:b/>
                <w:color w:val="FFFFFF"/>
                <w:sz w:val="18"/>
              </w:rPr>
              <w:t>SEVERITY</w:t>
            </w:r>
          </w:p>
        </w:tc>
        <w:tc>
          <w:tcPr>
            <w:tcW w:type="dxa" w:w="4680"/>
            <w:shd w:val="clear" w:color="auto" w:fill="1A1A1A"/>
          </w:tcPr>
          <w:p>
            <w:r>
              <w:rPr>
                <w:b/>
                <w:color w:val="FFFFFF"/>
                <w:sz w:val="18"/>
              </w:rPr>
              <w:t>DEFINITION &amp; RESPONSE</w:t>
            </w:r>
          </w:p>
        </w:tc>
      </w:tr>
      <w:tr>
        <w:tc>
          <w:tcPr>
            <w:tcW w:type="dxa" w:w="2160"/>
            <w:shd w:val="clear" w:color="auto" w:fill="C62828"/>
          </w:tcPr>
          <w:p>
            <w:r>
              <w:rPr>
                <w:b/>
                <w:color w:val="FFFFFF"/>
                <w:sz w:val="18"/>
              </w:rPr>
              <w:t>P1 — CRITICAL</w:t>
            </w:r>
          </w:p>
        </w:tc>
        <w:tc>
          <w:tcPr>
            <w:tcW w:type="dxa" w:w="7200"/>
            <w:shd w:val="clear" w:color="auto" w:fill="FAFAF8"/>
          </w:tcPr>
          <w:p>
            <w:r>
              <w:rPr>
                <w:color w:val="444444"/>
                <w:sz w:val="18"/>
              </w:rPr>
              <w:t>Agent causes direct customer harm, regulatory breach, or financial loss &gt;$50K. Response: Suspend agent immediately. Notify CRO and GC within 15 minutes. Regulatory notification within 24 hours if required.</w:t>
            </w:r>
          </w:p>
        </w:tc>
      </w:tr>
      <w:tr>
        <w:tc>
          <w:tcPr>
            <w:tcW w:type="dxa" w:w="2160"/>
            <w:shd w:val="clear" w:color="auto" w:fill="F57F17"/>
          </w:tcPr>
          <w:p>
            <w:r>
              <w:rPr>
                <w:b/>
                <w:color w:val="FFFFFF"/>
                <w:sz w:val="18"/>
              </w:rPr>
              <w:t>P2 — HIGH</w:t>
            </w:r>
          </w:p>
        </w:tc>
        <w:tc>
          <w:tcPr>
            <w:tcW w:type="dxa" w:w="7200"/>
            <w:shd w:val="clear" w:color="auto" w:fill="FAFAF8"/>
          </w:tcPr>
          <w:p>
            <w:r>
              <w:rPr>
                <w:color w:val="444444"/>
                <w:sz w:val="18"/>
              </w:rPr>
              <w:t>Agent accuracy drops &gt;5% below baseline, or &gt;10 misrouted high-severity claims in 24 hours. Response: Suspend agent within 1 hour. Root cause analysis within 48 hours. CRO notification.</w:t>
            </w:r>
          </w:p>
        </w:tc>
      </w:tr>
      <w:tr>
        <w:tc>
          <w:tcPr>
            <w:tcW w:type="dxa" w:w="2160"/>
            <w:shd w:val="clear" w:color="auto" w:fill="FFC107"/>
          </w:tcPr>
          <w:p>
            <w:r>
              <w:rPr>
                <w:b/>
                <w:color w:val="FFFFFF"/>
                <w:sz w:val="18"/>
              </w:rPr>
              <w:t>P3 — MEDIUM</w:t>
            </w:r>
          </w:p>
        </w:tc>
        <w:tc>
          <w:tcPr>
            <w:tcW w:type="dxa" w:w="7200"/>
            <w:shd w:val="clear" w:color="auto" w:fill="FAFAF8"/>
          </w:tcPr>
          <w:p>
            <w:r>
              <w:rPr>
                <w:color w:val="444444"/>
                <w:sz w:val="18"/>
              </w:rPr>
              <w:t>Agent accuracy drops 2–5% below baseline, or isolated misrouting of standard claims. Response: Investigate within 4 hours. Remediation plan within 72 hours. AI Program Office notification.</w:t>
            </w:r>
          </w:p>
        </w:tc>
      </w:tr>
      <w:tr>
        <w:tc>
          <w:tcPr>
            <w:tcW w:type="dxa" w:w="2160"/>
            <w:shd w:val="clear" w:color="auto" w:fill="2E7D32"/>
          </w:tcPr>
          <w:p>
            <w:r>
              <w:rPr>
                <w:b/>
                <w:color w:val="FFFFFF"/>
                <w:sz w:val="18"/>
              </w:rPr>
              <w:t>P4 — LOW</w:t>
            </w:r>
          </w:p>
        </w:tc>
        <w:tc>
          <w:tcPr>
            <w:tcW w:type="dxa" w:w="7200"/>
            <w:shd w:val="clear" w:color="auto" w:fill="FAFAF8"/>
          </w:tcPr>
          <w:p>
            <w:r>
              <w:rPr>
                <w:color w:val="444444"/>
                <w:sz w:val="18"/>
              </w:rPr>
              <w:t>Minor anomalies, single misclassification, latency spike within SLA. Response: Log and monitor. Review in next weekly ops meeting.</w:t>
            </w:r>
          </w:p>
        </w:tc>
      </w:tr>
    </w:tbl>
    <w:p/>
    <w:p>
      <w:pPr>
        <w:spacing w:before="280" w:after="80"/>
      </w:pPr>
      <w:r>
        <w:rPr>
          <w:b/>
          <w:color w:val="1A1A1A"/>
          <w:sz w:val="28"/>
        </w:rPr>
        <w:t>SECTION 7: CHARTER ACKNOWLEDGMENT</w:t>
      </w:r>
    </w:p>
    <w:p>
      <w:pPr>
        <w:spacing w:before="40" w:after="80"/>
      </w:pPr>
      <w:r>
        <w:rPr>
          <w:i w:val="0"/>
          <w:color w:val="444444"/>
          <w:sz w:val="20"/>
        </w:rPr>
        <w:t>This charter has been reviewed and approved by the AcmeCorp AI Steering Committee. All AI deployments at AcmeCorp are subject to this charter effective May 19, 2026.</w:t>
      </w:r>
    </w:p>
    <w:tbl>
      <w:tblPr>
        <w:tblStyle w:val="TableGrid"/>
        <w:tblW w:type="auto" w:w="0"/>
        <w:tblLook w:firstColumn="1" w:firstRow="1" w:lastColumn="0" w:lastRow="0" w:noHBand="0" w:noVBand="1" w:val="04A0"/>
      </w:tblPr>
      <w:tblGrid>
        <w:gridCol w:w="2592"/>
        <w:gridCol w:w="3600"/>
        <w:gridCol w:w="2160"/>
      </w:tblGrid>
      <w:tr>
        <w:tc>
          <w:tcPr>
            <w:tcW w:type="dxa" w:w="3120"/>
            <w:shd w:val="clear" w:color="auto" w:fill="1A1A1A"/>
          </w:tcPr>
          <w:p>
            <w:r>
              <w:rPr>
                <w:b/>
                <w:color w:val="FFFFFF"/>
                <w:sz w:val="18"/>
              </w:rPr>
              <w:t>NAME</w:t>
            </w:r>
          </w:p>
        </w:tc>
        <w:tc>
          <w:tcPr>
            <w:tcW w:type="dxa" w:w="3120"/>
            <w:shd w:val="clear" w:color="auto" w:fill="1A1A1A"/>
          </w:tcPr>
          <w:p>
            <w:r>
              <w:rPr>
                <w:b/>
                <w:color w:val="FFFFFF"/>
                <w:sz w:val="18"/>
              </w:rPr>
              <w:t>TITLE</w:t>
            </w:r>
          </w:p>
        </w:tc>
        <w:tc>
          <w:tcPr>
            <w:tcW w:type="dxa" w:w="3120"/>
            <w:shd w:val="clear" w:color="auto" w:fill="1A1A1A"/>
          </w:tcPr>
          <w:p>
            <w:r>
              <w:rPr>
                <w:b/>
                <w:color w:val="FFFFFF"/>
                <w:sz w:val="18"/>
              </w:rPr>
              <w:t>DATE</w:t>
            </w:r>
          </w:p>
        </w:tc>
      </w:tr>
      <w:tr>
        <w:tc>
          <w:tcPr>
            <w:tcW w:type="dxa" w:w="2592"/>
            <w:shd w:val="clear" w:color="auto" w:fill="F0FFD8"/>
          </w:tcPr>
          <w:p>
            <w:r>
              <w:rPr>
                <w:b/>
                <w:color w:val="1A1A1A"/>
                <w:sz w:val="18"/>
              </w:rPr>
              <w:t>David Park</w:t>
            </w:r>
          </w:p>
        </w:tc>
        <w:tc>
          <w:tcPr>
            <w:tcW w:type="dxa" w:w="3600"/>
            <w:shd w:val="clear" w:color="auto" w:fill="FAFAF8"/>
          </w:tcPr>
          <w:p>
            <w:r>
              <w:rPr>
                <w:b w:val="0"/>
                <w:color w:val="444444"/>
                <w:sz w:val="18"/>
              </w:rPr>
              <w:t>Chief Risk Officer &amp; AI Incident Owner</w:t>
            </w:r>
          </w:p>
        </w:tc>
        <w:tc>
          <w:tcPr>
            <w:tcW w:type="dxa" w:w="2160"/>
            <w:shd w:val="clear" w:color="auto" w:fill="FAFAF8"/>
          </w:tcPr>
          <w:p>
            <w:r>
              <w:rPr>
                <w:b w:val="0"/>
                <w:color w:val="444444"/>
                <w:sz w:val="18"/>
              </w:rPr>
              <w:t>May 12, 2026</w:t>
            </w:r>
          </w:p>
        </w:tc>
      </w:tr>
      <w:tr>
        <w:tc>
          <w:tcPr>
            <w:tcW w:type="dxa" w:w="2592"/>
            <w:shd w:val="clear" w:color="auto" w:fill="F0FFD8"/>
          </w:tcPr>
          <w:p>
            <w:r>
              <w:rPr>
                <w:b/>
                <w:color w:val="1A1A1A"/>
                <w:sz w:val="18"/>
              </w:rPr>
              <w:t>Maria Chen</w:t>
            </w:r>
          </w:p>
        </w:tc>
        <w:tc>
          <w:tcPr>
            <w:tcW w:type="dxa" w:w="3600"/>
            <w:shd w:val="clear" w:color="auto" w:fill="FAFAF8"/>
          </w:tcPr>
          <w:p>
            <w:r>
              <w:rPr>
                <w:b w:val="0"/>
                <w:color w:val="444444"/>
                <w:sz w:val="18"/>
              </w:rPr>
              <w:t>VP Operations</w:t>
            </w:r>
          </w:p>
        </w:tc>
        <w:tc>
          <w:tcPr>
            <w:tcW w:type="dxa" w:w="2160"/>
            <w:shd w:val="clear" w:color="auto" w:fill="FAFAF8"/>
          </w:tcPr>
          <w:p>
            <w:r>
              <w:rPr>
                <w:b w:val="0"/>
                <w:color w:val="444444"/>
                <w:sz w:val="18"/>
              </w:rPr>
              <w:t>May 12, 2026</w:t>
            </w:r>
          </w:p>
        </w:tc>
      </w:tr>
      <w:tr>
        <w:tc>
          <w:tcPr>
            <w:tcW w:type="dxa" w:w="2592"/>
            <w:shd w:val="clear" w:color="auto" w:fill="F0FFD8"/>
          </w:tcPr>
          <w:p>
            <w:r>
              <w:rPr>
                <w:b/>
                <w:color w:val="1A1A1A"/>
                <w:sz w:val="18"/>
              </w:rPr>
              <w:t>Rachel Torres</w:t>
            </w:r>
          </w:p>
        </w:tc>
        <w:tc>
          <w:tcPr>
            <w:tcW w:type="dxa" w:w="3600"/>
            <w:shd w:val="clear" w:color="auto" w:fill="FAFAF8"/>
          </w:tcPr>
          <w:p>
            <w:r>
              <w:rPr>
                <w:b w:val="0"/>
                <w:color w:val="444444"/>
                <w:sz w:val="18"/>
              </w:rPr>
              <w:t>General Counsel</w:t>
            </w:r>
          </w:p>
        </w:tc>
        <w:tc>
          <w:tcPr>
            <w:tcW w:type="dxa" w:w="2160"/>
            <w:shd w:val="clear" w:color="auto" w:fill="FAFAF8"/>
          </w:tcPr>
          <w:p>
            <w:r>
              <w:rPr>
                <w:b w:val="0"/>
                <w:color w:val="444444"/>
                <w:sz w:val="18"/>
              </w:rPr>
              <w:t>May 12, 2026</w:t>
            </w:r>
          </w:p>
        </w:tc>
      </w:tr>
      <w:tr>
        <w:tc>
          <w:tcPr>
            <w:tcW w:type="dxa" w:w="2592"/>
            <w:shd w:val="clear" w:color="auto" w:fill="F0FFD8"/>
          </w:tcPr>
          <w:p>
            <w:r>
              <w:rPr>
                <w:b/>
                <w:color w:val="1A1A1A"/>
                <w:sz w:val="18"/>
              </w:rPr>
              <w:t>James Liu</w:t>
            </w:r>
          </w:p>
        </w:tc>
        <w:tc>
          <w:tcPr>
            <w:tcW w:type="dxa" w:w="3600"/>
            <w:shd w:val="clear" w:color="auto" w:fill="FAFAF8"/>
          </w:tcPr>
          <w:p>
            <w:r>
              <w:rPr>
                <w:b w:val="0"/>
                <w:color w:val="444444"/>
                <w:sz w:val="18"/>
              </w:rPr>
              <w:t>CTO</w:t>
            </w:r>
          </w:p>
        </w:tc>
        <w:tc>
          <w:tcPr>
            <w:tcW w:type="dxa" w:w="2160"/>
            <w:shd w:val="clear" w:color="auto" w:fill="FAFAF8"/>
          </w:tcPr>
          <w:p>
            <w:r>
              <w:rPr>
                <w:b w:val="0"/>
                <w:color w:val="444444"/>
                <w:sz w:val="18"/>
              </w:rPr>
              <w:t>May 12, 2026</w:t>
            </w:r>
          </w:p>
        </w:tc>
      </w:tr>
      <w:tr>
        <w:tc>
          <w:tcPr>
            <w:tcW w:type="dxa" w:w="2592"/>
            <w:shd w:val="clear" w:color="auto" w:fill="F0FFD8"/>
          </w:tcPr>
          <w:p>
            <w:r>
              <w:rPr>
                <w:b/>
                <w:color w:val="1A1A1A"/>
                <w:sz w:val="18"/>
              </w:rPr>
              <w:t>Sarah Okonkwo</w:t>
            </w:r>
          </w:p>
        </w:tc>
        <w:tc>
          <w:tcPr>
            <w:tcW w:type="dxa" w:w="3600"/>
            <w:shd w:val="clear" w:color="auto" w:fill="FAFAF8"/>
          </w:tcPr>
          <w:p>
            <w:r>
              <w:rPr>
                <w:b w:val="0"/>
                <w:color w:val="444444"/>
                <w:sz w:val="18"/>
              </w:rPr>
              <w:t>AI Engineering Lead</w:t>
            </w:r>
          </w:p>
        </w:tc>
        <w:tc>
          <w:tcPr>
            <w:tcW w:type="dxa" w:w="2160"/>
            <w:shd w:val="clear" w:color="auto" w:fill="FAFAF8"/>
          </w:tcPr>
          <w:p>
            <w:r>
              <w:rPr>
                <w:b w:val="0"/>
                <w:color w:val="444444"/>
                <w:sz w:val="18"/>
              </w:rPr>
              <w:t>May 12, 2026</w:t>
            </w:r>
          </w:p>
        </w:tc>
      </w:tr>
    </w:tbl>
    <w:p>
      <w:pPr>
        <w:spacing w:before="400"/>
      </w:pPr>
      <w:r>
        <w:rPr>
          <w:color w:val="999999"/>
          <w:sz w:val="16"/>
        </w:rPr>
        <w:t>futurefrontiers.us  ·  Future Frontiers  ·  Exploring over the Horizon  ·  © 2026</w:t>
      </w:r>
    </w:p>
    <w:sectPr w:rsidR="00FC693F" w:rsidRPr="0006063C"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